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35C" w:rsidRPr="006F0E13" w:rsidRDefault="0062010E">
      <w:pPr>
        <w:pStyle w:val="NormalWeb"/>
        <w:spacing w:before="0" w:beforeAutospacing="0" w:after="0" w:afterAutospacing="0"/>
        <w:jc w:val="center"/>
        <w:rPr>
          <w:szCs w:val="24"/>
        </w:rPr>
      </w:pPr>
      <w:r w:rsidRPr="006F0E13">
        <w:rPr>
          <w:noProof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48260</wp:posOffset>
            </wp:positionV>
            <wp:extent cx="1381125" cy="65468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0E13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2430145</wp:posOffset>
            </wp:positionH>
            <wp:positionV relativeFrom="paragraph">
              <wp:posOffset>-144145</wp:posOffset>
            </wp:positionV>
            <wp:extent cx="865505" cy="931545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635C" w:rsidRPr="006F0E13" w:rsidRDefault="003F738E" w:rsidP="003F738E">
      <w:pPr>
        <w:ind w:left="2160"/>
        <w:jc w:val="center"/>
        <w:rPr>
          <w:szCs w:val="24"/>
        </w:rPr>
      </w:pPr>
      <w:r w:rsidRPr="006F0E13">
        <w:rPr>
          <w:noProof/>
          <w:szCs w:val="24"/>
        </w:rPr>
        <w:t xml:space="preserve">  </w:t>
      </w:r>
      <w:r w:rsidR="0062010E" w:rsidRPr="006F0E13">
        <w:rPr>
          <w:noProof/>
          <w:szCs w:val="24"/>
        </w:rPr>
        <w:drawing>
          <wp:inline distT="0" distB="0" distL="0" distR="0">
            <wp:extent cx="1647825" cy="419100"/>
            <wp:effectExtent l="19050" t="0" r="9525" b="0"/>
            <wp:docPr id="1" name="Picture 3" descr="Dent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nton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62F5" w:rsidRPr="006F0E13">
        <w:rPr>
          <w:szCs w:val="24"/>
        </w:rPr>
        <w:t xml:space="preserve">    </w:t>
      </w:r>
    </w:p>
    <w:p w:rsidR="00BE635C" w:rsidRPr="006F0E13" w:rsidRDefault="00BE635C">
      <w:pPr>
        <w:pStyle w:val="Factsubhead"/>
        <w:spacing w:before="0"/>
        <w:jc w:val="center"/>
        <w:rPr>
          <w:color w:val="auto"/>
          <w:szCs w:val="24"/>
        </w:rPr>
      </w:pPr>
    </w:p>
    <w:p w:rsidR="00BE635C" w:rsidRPr="006F0E13" w:rsidRDefault="00DD4F92">
      <w:pPr>
        <w:pStyle w:val="Factsubhead"/>
        <w:spacing w:before="0"/>
        <w:jc w:val="center"/>
        <w:rPr>
          <w:color w:val="auto"/>
          <w:szCs w:val="24"/>
          <w:u w:val="single"/>
        </w:rPr>
      </w:pPr>
      <w:r w:rsidRPr="006F0E13">
        <w:rPr>
          <w:color w:val="auto"/>
          <w:szCs w:val="24"/>
          <w:u w:val="single"/>
        </w:rPr>
        <w:t>LIGAS v</w:t>
      </w:r>
      <w:r w:rsidR="003E62F5" w:rsidRPr="006F0E13">
        <w:rPr>
          <w:color w:val="auto"/>
          <w:szCs w:val="24"/>
          <w:u w:val="single"/>
        </w:rPr>
        <w:t xml:space="preserve">. </w:t>
      </w:r>
      <w:r w:rsidR="004E72DD">
        <w:rPr>
          <w:color w:val="auto"/>
          <w:szCs w:val="24"/>
          <w:u w:val="single"/>
        </w:rPr>
        <w:t>EAGLESON</w:t>
      </w:r>
      <w:r w:rsidR="003E62F5" w:rsidRPr="006F0E13">
        <w:rPr>
          <w:color w:val="auto"/>
          <w:szCs w:val="24"/>
          <w:u w:val="single"/>
        </w:rPr>
        <w:t xml:space="preserve"> FACT SHEET</w:t>
      </w:r>
    </w:p>
    <w:p w:rsidR="00BE635C" w:rsidRPr="006F0E13" w:rsidRDefault="003E62F5">
      <w:pPr>
        <w:pStyle w:val="Factsubhead"/>
        <w:rPr>
          <w:rFonts w:ascii="Times New Roman" w:hAnsi="Times New Roman"/>
          <w:color w:val="auto"/>
          <w:szCs w:val="24"/>
        </w:rPr>
      </w:pPr>
      <w:r w:rsidRPr="006F0E13">
        <w:rPr>
          <w:color w:val="auto"/>
          <w:szCs w:val="24"/>
        </w:rPr>
        <w:t>Background on the lawsuit</w:t>
      </w:r>
    </w:p>
    <w:p w:rsidR="00BE635C" w:rsidRPr="00964BDD" w:rsidRDefault="003E62F5">
      <w:pPr>
        <w:pStyle w:val="BodyFactsheet"/>
        <w:rPr>
          <w:b/>
          <w:sz w:val="23"/>
          <w:szCs w:val="23"/>
        </w:rPr>
      </w:pPr>
      <w:bookmarkStart w:id="0" w:name="OLE_LINK1"/>
      <w:r w:rsidRPr="00964BDD">
        <w:rPr>
          <w:i/>
          <w:iCs/>
          <w:sz w:val="23"/>
          <w:szCs w:val="23"/>
        </w:rPr>
        <w:t xml:space="preserve">Ligas v. </w:t>
      </w:r>
      <w:r w:rsidR="004E72DD" w:rsidRPr="00964BDD">
        <w:rPr>
          <w:i/>
          <w:iCs/>
          <w:sz w:val="23"/>
          <w:szCs w:val="23"/>
        </w:rPr>
        <w:t>Eagleson</w:t>
      </w:r>
      <w:r w:rsidRPr="00964BDD">
        <w:rPr>
          <w:i/>
          <w:iCs/>
          <w:sz w:val="23"/>
          <w:szCs w:val="23"/>
        </w:rPr>
        <w:t xml:space="preserve"> </w:t>
      </w:r>
      <w:r w:rsidRPr="00964BDD">
        <w:rPr>
          <w:iCs/>
          <w:sz w:val="23"/>
          <w:szCs w:val="23"/>
        </w:rPr>
        <w:t>(</w:t>
      </w:r>
      <w:r w:rsidR="004E72DD" w:rsidRPr="00964BDD">
        <w:rPr>
          <w:iCs/>
          <w:sz w:val="23"/>
          <w:szCs w:val="23"/>
        </w:rPr>
        <w:t>originally</w:t>
      </w:r>
      <w:r w:rsidRPr="00964BDD">
        <w:rPr>
          <w:iCs/>
          <w:sz w:val="23"/>
          <w:szCs w:val="23"/>
        </w:rPr>
        <w:t xml:space="preserve"> </w:t>
      </w:r>
      <w:r w:rsidRPr="00964BDD">
        <w:rPr>
          <w:i/>
          <w:iCs/>
          <w:sz w:val="23"/>
          <w:szCs w:val="23"/>
        </w:rPr>
        <w:t xml:space="preserve">Ligas v. </w:t>
      </w:r>
      <w:proofErr w:type="spellStart"/>
      <w:r w:rsidRPr="00964BDD">
        <w:rPr>
          <w:i/>
          <w:iCs/>
          <w:sz w:val="23"/>
          <w:szCs w:val="23"/>
        </w:rPr>
        <w:t>Maram</w:t>
      </w:r>
      <w:proofErr w:type="spellEnd"/>
      <w:r w:rsidRPr="00964BDD">
        <w:rPr>
          <w:iCs/>
          <w:sz w:val="23"/>
          <w:szCs w:val="23"/>
        </w:rPr>
        <w:t>) is a lawsuit f</w:t>
      </w:r>
      <w:r w:rsidRPr="00964BDD">
        <w:rPr>
          <w:sz w:val="23"/>
          <w:szCs w:val="23"/>
        </w:rPr>
        <w:t xml:space="preserve">iled in 2005 by nine </w:t>
      </w:r>
      <w:r w:rsidR="00552F1A">
        <w:rPr>
          <w:sz w:val="23"/>
          <w:szCs w:val="23"/>
        </w:rPr>
        <w:t>adults</w:t>
      </w:r>
      <w:r w:rsidRPr="00964BDD">
        <w:rPr>
          <w:sz w:val="23"/>
          <w:szCs w:val="23"/>
        </w:rPr>
        <w:t xml:space="preserve"> with developmental disabilities (Plaintiffs) who reside</w:t>
      </w:r>
      <w:r w:rsidR="001B4BD2" w:rsidRPr="00964BDD">
        <w:rPr>
          <w:sz w:val="23"/>
          <w:szCs w:val="23"/>
        </w:rPr>
        <w:t>d</w:t>
      </w:r>
      <w:r w:rsidRPr="00964BDD">
        <w:rPr>
          <w:sz w:val="23"/>
          <w:szCs w:val="23"/>
        </w:rPr>
        <w:t xml:space="preserve"> in large private State-funded facilities (ICF-DDs) or who </w:t>
      </w:r>
      <w:r w:rsidR="00D41C9F" w:rsidRPr="00964BDD">
        <w:rPr>
          <w:sz w:val="23"/>
          <w:szCs w:val="23"/>
        </w:rPr>
        <w:t>were</w:t>
      </w:r>
      <w:r w:rsidRPr="00964BDD">
        <w:rPr>
          <w:sz w:val="23"/>
          <w:szCs w:val="23"/>
        </w:rPr>
        <w:t xml:space="preserve"> likely to be placed in such facilities</w:t>
      </w:r>
      <w:r w:rsidR="00D41C9F" w:rsidRPr="00964BDD">
        <w:rPr>
          <w:sz w:val="23"/>
          <w:szCs w:val="23"/>
        </w:rPr>
        <w:t xml:space="preserve"> if they did not get community services</w:t>
      </w:r>
      <w:r w:rsidRPr="00964BDD">
        <w:rPr>
          <w:sz w:val="23"/>
          <w:szCs w:val="23"/>
        </w:rPr>
        <w:t>.  Plaintiffs want</w:t>
      </w:r>
      <w:r w:rsidR="00EC0E36" w:rsidRPr="00964BDD">
        <w:rPr>
          <w:sz w:val="23"/>
          <w:szCs w:val="23"/>
        </w:rPr>
        <w:t>ed</w:t>
      </w:r>
      <w:r w:rsidRPr="00964BDD">
        <w:rPr>
          <w:sz w:val="23"/>
          <w:szCs w:val="23"/>
        </w:rPr>
        <w:t xml:space="preserve"> to receive community services, but their requests h</w:t>
      </w:r>
      <w:r w:rsidR="00D41C9F" w:rsidRPr="00964BDD">
        <w:rPr>
          <w:sz w:val="23"/>
          <w:szCs w:val="23"/>
        </w:rPr>
        <w:t>ad</w:t>
      </w:r>
      <w:r w:rsidRPr="00964BDD">
        <w:rPr>
          <w:sz w:val="23"/>
          <w:szCs w:val="23"/>
        </w:rPr>
        <w:t xml:space="preserve"> been denied by the State of Illinois. </w:t>
      </w:r>
      <w:bookmarkEnd w:id="0"/>
      <w:r w:rsidRPr="00964BDD">
        <w:rPr>
          <w:sz w:val="23"/>
          <w:szCs w:val="23"/>
        </w:rPr>
        <w:t xml:space="preserve">In 2006, a </w:t>
      </w:r>
      <w:r w:rsidR="001B4BD2" w:rsidRPr="00964BDD">
        <w:rPr>
          <w:sz w:val="23"/>
          <w:szCs w:val="23"/>
        </w:rPr>
        <w:t>j</w:t>
      </w:r>
      <w:r w:rsidRPr="00964BDD">
        <w:rPr>
          <w:sz w:val="23"/>
          <w:szCs w:val="23"/>
        </w:rPr>
        <w:t xml:space="preserve">udge certified the case as a class action. </w:t>
      </w:r>
      <w:r w:rsidR="0073552C">
        <w:rPr>
          <w:sz w:val="23"/>
          <w:szCs w:val="23"/>
        </w:rPr>
        <w:t xml:space="preserve">(Note that people </w:t>
      </w:r>
      <w:r w:rsidR="006F0E13" w:rsidRPr="00964BDD">
        <w:rPr>
          <w:sz w:val="23"/>
          <w:szCs w:val="23"/>
        </w:rPr>
        <w:t>living in State-operated developmental centers are not part of the class action.)</w:t>
      </w:r>
      <w:r w:rsidRPr="00964BDD">
        <w:rPr>
          <w:sz w:val="23"/>
          <w:szCs w:val="23"/>
        </w:rPr>
        <w:t xml:space="preserve"> Prior to trial, the parties reached an agreement, but at a Fairness Hearing in July 2009, the </w:t>
      </w:r>
      <w:r w:rsidR="001B4BD2" w:rsidRPr="00964BDD">
        <w:rPr>
          <w:sz w:val="23"/>
          <w:szCs w:val="23"/>
        </w:rPr>
        <w:t>j</w:t>
      </w:r>
      <w:r w:rsidRPr="00964BDD">
        <w:rPr>
          <w:sz w:val="23"/>
          <w:szCs w:val="23"/>
        </w:rPr>
        <w:t>udge found that the class definition was too broad as it included people who did not desire to l</w:t>
      </w:r>
      <w:r w:rsidR="00D41C9F" w:rsidRPr="00964BDD">
        <w:rPr>
          <w:sz w:val="23"/>
          <w:szCs w:val="23"/>
        </w:rPr>
        <w:t xml:space="preserve">ive in the community. </w:t>
      </w:r>
      <w:r w:rsidRPr="00964BDD">
        <w:rPr>
          <w:sz w:val="23"/>
          <w:szCs w:val="23"/>
        </w:rPr>
        <w:t xml:space="preserve">Accordingly, the </w:t>
      </w:r>
      <w:r w:rsidR="001B4BD2" w:rsidRPr="00964BDD">
        <w:rPr>
          <w:sz w:val="23"/>
          <w:szCs w:val="23"/>
        </w:rPr>
        <w:t>j</w:t>
      </w:r>
      <w:r w:rsidRPr="00964BDD">
        <w:rPr>
          <w:sz w:val="23"/>
          <w:szCs w:val="23"/>
        </w:rPr>
        <w:t>udge did not approve the agreement and de-certified the class</w:t>
      </w:r>
      <w:bookmarkStart w:id="1" w:name="OLE_LINK2"/>
      <w:r w:rsidRPr="00964BDD">
        <w:rPr>
          <w:sz w:val="23"/>
          <w:szCs w:val="23"/>
        </w:rPr>
        <w:t>.</w:t>
      </w:r>
      <w:r w:rsidRPr="00964BDD">
        <w:rPr>
          <w:b/>
          <w:sz w:val="23"/>
          <w:szCs w:val="23"/>
        </w:rPr>
        <w:t xml:space="preserve"> </w:t>
      </w:r>
      <w:bookmarkEnd w:id="1"/>
      <w:r w:rsidR="00681A63" w:rsidRPr="00964BDD">
        <w:rPr>
          <w:sz w:val="23"/>
          <w:szCs w:val="23"/>
        </w:rPr>
        <w:t>In</w:t>
      </w:r>
      <w:r w:rsidRPr="00964BDD">
        <w:rPr>
          <w:sz w:val="23"/>
          <w:szCs w:val="23"/>
        </w:rPr>
        <w:t xml:space="preserve"> January 2011, the Plaintiffs, the State, and the Intervenors </w:t>
      </w:r>
      <w:r w:rsidR="00681A63" w:rsidRPr="00964BDD">
        <w:rPr>
          <w:sz w:val="23"/>
          <w:szCs w:val="23"/>
        </w:rPr>
        <w:t xml:space="preserve">(representing those who wished to remain in ICF-DDs) </w:t>
      </w:r>
      <w:r w:rsidRPr="00964BDD">
        <w:rPr>
          <w:sz w:val="23"/>
          <w:szCs w:val="23"/>
        </w:rPr>
        <w:t>reached a new agreement that all c</w:t>
      </w:r>
      <w:r w:rsidR="00D41C9F" w:rsidRPr="00964BDD">
        <w:rPr>
          <w:sz w:val="23"/>
          <w:szCs w:val="23"/>
        </w:rPr>
        <w:t xml:space="preserve">ould support. </w:t>
      </w:r>
      <w:r w:rsidRPr="00964BDD">
        <w:rPr>
          <w:sz w:val="23"/>
          <w:szCs w:val="23"/>
        </w:rPr>
        <w:t xml:space="preserve">The </w:t>
      </w:r>
      <w:r w:rsidR="001B4BD2" w:rsidRPr="00964BDD">
        <w:rPr>
          <w:sz w:val="23"/>
          <w:szCs w:val="23"/>
        </w:rPr>
        <w:t>j</w:t>
      </w:r>
      <w:r w:rsidRPr="00964BDD">
        <w:rPr>
          <w:sz w:val="23"/>
          <w:szCs w:val="23"/>
        </w:rPr>
        <w:t>udge held a Fairness Hearing on June 15, 2011 and approved the proposed Consent Decree. This historic agreement reflects momentous change in state policy for serving people wi</w:t>
      </w:r>
      <w:r w:rsidR="0062010E" w:rsidRPr="00964BDD">
        <w:rPr>
          <w:sz w:val="23"/>
          <w:szCs w:val="23"/>
        </w:rPr>
        <w:t xml:space="preserve">th developmental disabilities. </w:t>
      </w:r>
      <w:r w:rsidR="005D5DBC">
        <w:rPr>
          <w:b/>
          <w:sz w:val="23"/>
          <w:szCs w:val="23"/>
        </w:rPr>
        <w:t>Over</w:t>
      </w:r>
      <w:r w:rsidR="00112015">
        <w:rPr>
          <w:b/>
          <w:sz w:val="23"/>
          <w:szCs w:val="23"/>
        </w:rPr>
        <w:t xml:space="preserve"> 10,000</w:t>
      </w:r>
      <w:r w:rsidR="0062010E" w:rsidRPr="00964BDD">
        <w:rPr>
          <w:b/>
          <w:sz w:val="23"/>
          <w:szCs w:val="23"/>
        </w:rPr>
        <w:t xml:space="preserve"> class members have received </w:t>
      </w:r>
      <w:r w:rsidR="006F0E13" w:rsidRPr="00964BDD">
        <w:rPr>
          <w:b/>
          <w:sz w:val="23"/>
          <w:szCs w:val="23"/>
        </w:rPr>
        <w:t xml:space="preserve">community </w:t>
      </w:r>
      <w:r w:rsidR="0062010E" w:rsidRPr="00964BDD">
        <w:rPr>
          <w:b/>
          <w:sz w:val="23"/>
          <w:szCs w:val="23"/>
        </w:rPr>
        <w:t>services</w:t>
      </w:r>
      <w:r w:rsidR="006F0E13" w:rsidRPr="00964BDD">
        <w:rPr>
          <w:b/>
          <w:sz w:val="23"/>
          <w:szCs w:val="23"/>
        </w:rPr>
        <w:t xml:space="preserve"> under the Consent Decree</w:t>
      </w:r>
      <w:r w:rsidR="0062010E" w:rsidRPr="00964BDD">
        <w:rPr>
          <w:b/>
          <w:sz w:val="23"/>
          <w:szCs w:val="23"/>
        </w:rPr>
        <w:t>.</w:t>
      </w:r>
    </w:p>
    <w:p w:rsidR="00100F8C" w:rsidRPr="006F0E13" w:rsidRDefault="00100F8C" w:rsidP="00100F8C">
      <w:pPr>
        <w:pStyle w:val="Factsubhead"/>
        <w:rPr>
          <w:color w:val="auto"/>
          <w:szCs w:val="24"/>
        </w:rPr>
      </w:pPr>
      <w:r w:rsidRPr="006F0E13">
        <w:rPr>
          <w:color w:val="auto"/>
          <w:szCs w:val="24"/>
        </w:rPr>
        <w:t xml:space="preserve">What </w:t>
      </w:r>
      <w:r w:rsidR="00E63B4D">
        <w:rPr>
          <w:color w:val="auto"/>
          <w:szCs w:val="24"/>
        </w:rPr>
        <w:t>has</w:t>
      </w:r>
      <w:r w:rsidR="001B4BD2" w:rsidRPr="006F0E13">
        <w:rPr>
          <w:color w:val="auto"/>
          <w:szCs w:val="24"/>
        </w:rPr>
        <w:t xml:space="preserve"> </w:t>
      </w:r>
      <w:r w:rsidRPr="006F0E13">
        <w:rPr>
          <w:color w:val="auto"/>
          <w:szCs w:val="24"/>
        </w:rPr>
        <w:t>the Consent Decree achieve</w:t>
      </w:r>
      <w:r w:rsidR="00E63B4D">
        <w:rPr>
          <w:color w:val="auto"/>
          <w:szCs w:val="24"/>
        </w:rPr>
        <w:t>d</w:t>
      </w:r>
      <w:r w:rsidRPr="006F0E13">
        <w:rPr>
          <w:color w:val="auto"/>
          <w:szCs w:val="24"/>
        </w:rPr>
        <w:t>?</w:t>
      </w:r>
    </w:p>
    <w:p w:rsidR="00100F8C" w:rsidRPr="00964BDD" w:rsidRDefault="00112015" w:rsidP="00100F8C">
      <w:pPr>
        <w:pStyle w:val="BodyFactsheet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3"/>
          <w:szCs w:val="23"/>
        </w:rPr>
      </w:pPr>
      <w:r>
        <w:rPr>
          <w:sz w:val="23"/>
          <w:szCs w:val="23"/>
        </w:rPr>
        <w:t>Over the initial 6</w:t>
      </w:r>
      <w:r w:rsidR="005D5DBC">
        <w:rPr>
          <w:sz w:val="23"/>
          <w:szCs w:val="23"/>
        </w:rPr>
        <w:t>-</w:t>
      </w:r>
      <w:r w:rsidR="00100F8C" w:rsidRPr="00964BDD">
        <w:rPr>
          <w:sz w:val="23"/>
          <w:szCs w:val="23"/>
        </w:rPr>
        <w:t>year period</w:t>
      </w:r>
      <w:r>
        <w:rPr>
          <w:sz w:val="23"/>
          <w:szCs w:val="23"/>
        </w:rPr>
        <w:t xml:space="preserve"> of the Decree (6/11-6/17)</w:t>
      </w:r>
      <w:r w:rsidR="00100F8C" w:rsidRPr="00964BDD">
        <w:rPr>
          <w:sz w:val="23"/>
          <w:szCs w:val="23"/>
        </w:rPr>
        <w:t>, any of the approximately 6,000 ICF-DD</w:t>
      </w:r>
      <w:r>
        <w:rPr>
          <w:sz w:val="23"/>
          <w:szCs w:val="23"/>
        </w:rPr>
        <w:t xml:space="preserve"> residents who want</w:t>
      </w:r>
      <w:r w:rsidR="00100F8C" w:rsidRPr="00964BDD">
        <w:rPr>
          <w:sz w:val="23"/>
          <w:szCs w:val="23"/>
        </w:rPr>
        <w:t>e</w:t>
      </w:r>
      <w:r w:rsidR="00D41C9F" w:rsidRPr="00964BDD">
        <w:rPr>
          <w:sz w:val="23"/>
          <w:szCs w:val="23"/>
        </w:rPr>
        <w:t xml:space="preserve">d community </w:t>
      </w:r>
      <w:r>
        <w:rPr>
          <w:sz w:val="23"/>
          <w:szCs w:val="23"/>
        </w:rPr>
        <w:t>services</w:t>
      </w:r>
      <w:r w:rsidR="00E63B4D" w:rsidRPr="00964BDD">
        <w:rPr>
          <w:sz w:val="23"/>
          <w:szCs w:val="23"/>
        </w:rPr>
        <w:t xml:space="preserve"> receive</w:t>
      </w:r>
      <w:r w:rsidR="00CC492F">
        <w:rPr>
          <w:sz w:val="23"/>
          <w:szCs w:val="23"/>
        </w:rPr>
        <w:t>d</w:t>
      </w:r>
      <w:r>
        <w:rPr>
          <w:sz w:val="23"/>
          <w:szCs w:val="23"/>
        </w:rPr>
        <w:t xml:space="preserve"> an </w:t>
      </w:r>
      <w:r w:rsidR="00E63B4D" w:rsidRPr="00964BDD">
        <w:rPr>
          <w:sz w:val="23"/>
          <w:szCs w:val="23"/>
        </w:rPr>
        <w:t xml:space="preserve">independent evaluation and the opportunity </w:t>
      </w:r>
      <w:r>
        <w:rPr>
          <w:sz w:val="23"/>
          <w:szCs w:val="23"/>
        </w:rPr>
        <w:t>move to the</w:t>
      </w:r>
      <w:r w:rsidR="00E63B4D" w:rsidRPr="00964BDD">
        <w:rPr>
          <w:sz w:val="23"/>
          <w:szCs w:val="23"/>
        </w:rPr>
        <w:t xml:space="preserve"> community with appropriate services. </w:t>
      </w:r>
    </w:p>
    <w:p w:rsidR="00100F8C" w:rsidRPr="00964BDD" w:rsidRDefault="00100F8C" w:rsidP="00100F8C">
      <w:pPr>
        <w:pStyle w:val="BodyFactsheet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3"/>
          <w:szCs w:val="23"/>
        </w:rPr>
      </w:pPr>
      <w:r w:rsidRPr="00964BDD">
        <w:rPr>
          <w:sz w:val="23"/>
          <w:szCs w:val="23"/>
        </w:rPr>
        <w:t>All ICF-DD r</w:t>
      </w:r>
      <w:r w:rsidR="00D41C9F" w:rsidRPr="00964BDD">
        <w:rPr>
          <w:sz w:val="23"/>
          <w:szCs w:val="23"/>
        </w:rPr>
        <w:t xml:space="preserve">esidents </w:t>
      </w:r>
      <w:r w:rsidRPr="00964BDD">
        <w:rPr>
          <w:sz w:val="23"/>
          <w:szCs w:val="23"/>
        </w:rPr>
        <w:t xml:space="preserve">happy with their current placement </w:t>
      </w:r>
      <w:r w:rsidR="001B4BD2" w:rsidRPr="00964BDD">
        <w:rPr>
          <w:sz w:val="23"/>
          <w:szCs w:val="23"/>
        </w:rPr>
        <w:t xml:space="preserve">were </w:t>
      </w:r>
      <w:r w:rsidRPr="00964BDD">
        <w:rPr>
          <w:sz w:val="23"/>
          <w:szCs w:val="23"/>
        </w:rPr>
        <w:t xml:space="preserve">not part of the class and </w:t>
      </w:r>
      <w:r w:rsidR="001B4BD2" w:rsidRPr="00964BDD">
        <w:rPr>
          <w:sz w:val="23"/>
          <w:szCs w:val="23"/>
        </w:rPr>
        <w:t xml:space="preserve">were </w:t>
      </w:r>
      <w:r w:rsidRPr="00964BDD">
        <w:rPr>
          <w:sz w:val="23"/>
          <w:szCs w:val="23"/>
        </w:rPr>
        <w:t xml:space="preserve">not </w:t>
      </w:r>
      <w:r w:rsidR="005A0DB1">
        <w:rPr>
          <w:sz w:val="23"/>
          <w:szCs w:val="23"/>
        </w:rPr>
        <w:t xml:space="preserve">required to move. </w:t>
      </w:r>
      <w:r w:rsidRPr="00964BDD">
        <w:rPr>
          <w:sz w:val="23"/>
          <w:szCs w:val="23"/>
        </w:rPr>
        <w:t xml:space="preserve">The Consent Decree </w:t>
      </w:r>
      <w:r w:rsidR="0073552C">
        <w:rPr>
          <w:sz w:val="23"/>
          <w:szCs w:val="23"/>
        </w:rPr>
        <w:t>requires</w:t>
      </w:r>
      <w:r w:rsidRPr="00964BDD">
        <w:rPr>
          <w:sz w:val="23"/>
          <w:szCs w:val="23"/>
        </w:rPr>
        <w:t xml:space="preserve"> that resources necessary to meet the needs of those who chose to continue to reside in ICF-DDs </w:t>
      </w:r>
      <w:r w:rsidR="001B4BD2" w:rsidRPr="00964BDD">
        <w:rPr>
          <w:sz w:val="23"/>
          <w:szCs w:val="23"/>
        </w:rPr>
        <w:t>are</w:t>
      </w:r>
      <w:r w:rsidRPr="00964BDD">
        <w:rPr>
          <w:sz w:val="23"/>
          <w:szCs w:val="23"/>
        </w:rPr>
        <w:t xml:space="preserve"> available.</w:t>
      </w:r>
    </w:p>
    <w:p w:rsidR="00100F8C" w:rsidRPr="00964BDD" w:rsidRDefault="00112015" w:rsidP="00100F8C">
      <w:pPr>
        <w:pStyle w:val="BodyFactsheet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3"/>
          <w:szCs w:val="23"/>
        </w:rPr>
      </w:pPr>
      <w:r>
        <w:rPr>
          <w:sz w:val="23"/>
          <w:szCs w:val="23"/>
        </w:rPr>
        <w:t>Over the initial 6</w:t>
      </w:r>
      <w:r w:rsidR="005D5DBC">
        <w:rPr>
          <w:sz w:val="23"/>
          <w:szCs w:val="23"/>
        </w:rPr>
        <w:t>-</w:t>
      </w:r>
      <w:r w:rsidR="00100F8C" w:rsidRPr="00964BDD">
        <w:rPr>
          <w:sz w:val="23"/>
          <w:szCs w:val="23"/>
        </w:rPr>
        <w:t>year period</w:t>
      </w:r>
      <w:r>
        <w:rPr>
          <w:sz w:val="23"/>
          <w:szCs w:val="23"/>
        </w:rPr>
        <w:t xml:space="preserve"> (6/11-6/17)</w:t>
      </w:r>
      <w:r w:rsidR="00100F8C" w:rsidRPr="00964BDD">
        <w:rPr>
          <w:sz w:val="23"/>
          <w:szCs w:val="23"/>
        </w:rPr>
        <w:t xml:space="preserve">, </w:t>
      </w:r>
      <w:r w:rsidR="00CC492F">
        <w:rPr>
          <w:sz w:val="23"/>
          <w:szCs w:val="23"/>
        </w:rPr>
        <w:t>over</w:t>
      </w:r>
      <w:r w:rsidR="00100F8C" w:rsidRPr="00964BDD">
        <w:rPr>
          <w:sz w:val="23"/>
          <w:szCs w:val="23"/>
        </w:rPr>
        <w:t xml:space="preserve"> 3,000 people with developmental disabilities</w:t>
      </w:r>
      <w:r w:rsidR="00CC492F">
        <w:rPr>
          <w:sz w:val="23"/>
          <w:szCs w:val="23"/>
        </w:rPr>
        <w:t xml:space="preserve"> who were </w:t>
      </w:r>
      <w:r w:rsidR="00100F8C" w:rsidRPr="00964BDD">
        <w:rPr>
          <w:sz w:val="23"/>
          <w:szCs w:val="23"/>
        </w:rPr>
        <w:t>livi</w:t>
      </w:r>
      <w:r w:rsidR="00D41C9F" w:rsidRPr="00964BDD">
        <w:rPr>
          <w:sz w:val="23"/>
          <w:szCs w:val="23"/>
        </w:rPr>
        <w:t>n</w:t>
      </w:r>
      <w:r w:rsidR="00CC492F">
        <w:rPr>
          <w:sz w:val="23"/>
          <w:szCs w:val="23"/>
        </w:rPr>
        <w:t xml:space="preserve">g at home without services were </w:t>
      </w:r>
      <w:r w:rsidR="00100F8C" w:rsidRPr="00964BDD">
        <w:rPr>
          <w:sz w:val="23"/>
          <w:szCs w:val="23"/>
        </w:rPr>
        <w:t>given community services.</w:t>
      </w:r>
    </w:p>
    <w:p w:rsidR="001B4BD2" w:rsidRPr="00964BDD" w:rsidRDefault="00552F1A" w:rsidP="00100F8C">
      <w:pPr>
        <w:pStyle w:val="BodyFactsheet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3"/>
          <w:szCs w:val="23"/>
        </w:rPr>
      </w:pPr>
      <w:r>
        <w:rPr>
          <w:sz w:val="23"/>
          <w:szCs w:val="23"/>
        </w:rPr>
        <w:t>People in C</w:t>
      </w:r>
      <w:r w:rsidR="001B4BD2" w:rsidRPr="00964BDD">
        <w:rPr>
          <w:sz w:val="23"/>
          <w:szCs w:val="23"/>
        </w:rPr>
        <w:t xml:space="preserve">risis </w:t>
      </w:r>
      <w:r w:rsidR="0073552C">
        <w:rPr>
          <w:sz w:val="23"/>
          <w:szCs w:val="23"/>
        </w:rPr>
        <w:t xml:space="preserve">were to </w:t>
      </w:r>
      <w:r w:rsidR="001B4BD2" w:rsidRPr="00964BDD">
        <w:rPr>
          <w:sz w:val="23"/>
          <w:szCs w:val="23"/>
        </w:rPr>
        <w:t>be served expeditiously and not count as part of the 3</w:t>
      </w:r>
      <w:r>
        <w:rPr>
          <w:sz w:val="23"/>
          <w:szCs w:val="23"/>
        </w:rPr>
        <w:t>,</w:t>
      </w:r>
      <w:r w:rsidR="001B4BD2" w:rsidRPr="00964BDD">
        <w:rPr>
          <w:sz w:val="23"/>
          <w:szCs w:val="23"/>
        </w:rPr>
        <w:t>000 people picked fo</w:t>
      </w:r>
      <w:r w:rsidR="005A0DB1">
        <w:rPr>
          <w:sz w:val="23"/>
          <w:szCs w:val="23"/>
        </w:rPr>
        <w:t xml:space="preserve">r community services. </w:t>
      </w:r>
      <w:r w:rsidR="00112015">
        <w:rPr>
          <w:sz w:val="23"/>
          <w:szCs w:val="23"/>
        </w:rPr>
        <w:t>N</w:t>
      </w:r>
      <w:r w:rsidR="003329D3" w:rsidRPr="00964BDD">
        <w:rPr>
          <w:sz w:val="23"/>
          <w:szCs w:val="23"/>
        </w:rPr>
        <w:t xml:space="preserve">o cap on the number of people served </w:t>
      </w:r>
      <w:r>
        <w:rPr>
          <w:sz w:val="23"/>
          <w:szCs w:val="23"/>
        </w:rPr>
        <w:t>through C</w:t>
      </w:r>
      <w:r w:rsidR="0073552C">
        <w:rPr>
          <w:sz w:val="23"/>
          <w:szCs w:val="23"/>
        </w:rPr>
        <w:t>risis</w:t>
      </w:r>
      <w:r w:rsidR="003329D3" w:rsidRPr="00964BDD">
        <w:rPr>
          <w:sz w:val="23"/>
          <w:szCs w:val="23"/>
        </w:rPr>
        <w:t xml:space="preserve">.  </w:t>
      </w:r>
    </w:p>
    <w:p w:rsidR="00681A63" w:rsidRPr="006F0E13" w:rsidRDefault="00681A63" w:rsidP="006F0E13">
      <w:pPr>
        <w:pStyle w:val="Factsubhead"/>
        <w:spacing w:before="0"/>
        <w:rPr>
          <w:b/>
          <w:color w:val="auto"/>
          <w:szCs w:val="24"/>
        </w:rPr>
      </w:pPr>
      <w:r w:rsidRPr="006F0E13">
        <w:rPr>
          <w:b/>
          <w:color w:val="auto"/>
          <w:szCs w:val="24"/>
        </w:rPr>
        <w:t xml:space="preserve">Is the </w:t>
      </w:r>
      <w:r w:rsidR="00100F8C" w:rsidRPr="006F0E13">
        <w:rPr>
          <w:b/>
          <w:i/>
          <w:color w:val="auto"/>
          <w:szCs w:val="24"/>
        </w:rPr>
        <w:t xml:space="preserve">Ligas </w:t>
      </w:r>
      <w:r w:rsidRPr="006F0E13">
        <w:rPr>
          <w:b/>
          <w:color w:val="auto"/>
          <w:szCs w:val="24"/>
        </w:rPr>
        <w:t>Consent Decree over?</w:t>
      </w:r>
    </w:p>
    <w:p w:rsidR="00681A63" w:rsidRPr="006F0E13" w:rsidRDefault="00681A63" w:rsidP="006F0E13">
      <w:pPr>
        <w:pStyle w:val="Factsubhead"/>
        <w:spacing w:before="0"/>
        <w:rPr>
          <w:rFonts w:ascii="Arial" w:hAnsi="Arial" w:cs="Arial"/>
          <w:color w:val="auto"/>
          <w:szCs w:val="24"/>
        </w:rPr>
      </w:pPr>
      <w:r w:rsidRPr="006F0E13">
        <w:rPr>
          <w:color w:val="auto"/>
          <w:szCs w:val="24"/>
        </w:rPr>
        <w:t>No.</w:t>
      </w:r>
      <w:r w:rsidRPr="006F0E13">
        <w:rPr>
          <w:b/>
          <w:color w:val="auto"/>
          <w:szCs w:val="24"/>
        </w:rPr>
        <w:t xml:space="preserve">  </w:t>
      </w:r>
      <w:r w:rsidRPr="00964BDD">
        <w:rPr>
          <w:rFonts w:ascii="Arial" w:hAnsi="Arial" w:cs="Arial"/>
          <w:color w:val="auto"/>
          <w:sz w:val="23"/>
          <w:szCs w:val="23"/>
        </w:rPr>
        <w:t xml:space="preserve">Only </w:t>
      </w:r>
      <w:r w:rsidR="00100F8C" w:rsidRPr="00964BDD">
        <w:rPr>
          <w:rFonts w:ascii="Arial" w:hAnsi="Arial" w:cs="Arial"/>
          <w:color w:val="auto"/>
          <w:sz w:val="23"/>
          <w:szCs w:val="23"/>
        </w:rPr>
        <w:t xml:space="preserve">the </w:t>
      </w:r>
      <w:r w:rsidRPr="00964BDD">
        <w:rPr>
          <w:rFonts w:ascii="Arial" w:hAnsi="Arial" w:cs="Arial"/>
          <w:color w:val="auto"/>
          <w:sz w:val="23"/>
          <w:szCs w:val="23"/>
        </w:rPr>
        <w:t xml:space="preserve">first phase of the Consent Decree has been </w:t>
      </w:r>
      <w:r w:rsidR="00E63B4D" w:rsidRPr="00964BDD">
        <w:rPr>
          <w:rFonts w:ascii="Arial" w:hAnsi="Arial" w:cs="Arial"/>
          <w:color w:val="auto"/>
          <w:sz w:val="23"/>
          <w:szCs w:val="23"/>
        </w:rPr>
        <w:t>completed</w:t>
      </w:r>
      <w:r w:rsidRPr="00964BDD">
        <w:rPr>
          <w:rFonts w:ascii="Arial" w:hAnsi="Arial" w:cs="Arial"/>
          <w:color w:val="auto"/>
          <w:sz w:val="23"/>
          <w:szCs w:val="23"/>
        </w:rPr>
        <w:t xml:space="preserve">.  During the first </w:t>
      </w:r>
      <w:r w:rsidR="00112015">
        <w:rPr>
          <w:rFonts w:ascii="Arial" w:hAnsi="Arial" w:cs="Arial"/>
          <w:color w:val="auto"/>
          <w:sz w:val="23"/>
          <w:szCs w:val="23"/>
        </w:rPr>
        <w:t>6</w:t>
      </w:r>
      <w:r w:rsidRPr="00964BDD">
        <w:rPr>
          <w:rFonts w:ascii="Arial" w:hAnsi="Arial" w:cs="Arial"/>
          <w:color w:val="auto"/>
          <w:sz w:val="23"/>
          <w:szCs w:val="23"/>
        </w:rPr>
        <w:t xml:space="preserve"> years, the State met its </w:t>
      </w:r>
      <w:r w:rsidR="00100F8C" w:rsidRPr="00964BDD">
        <w:rPr>
          <w:rFonts w:ascii="Arial" w:hAnsi="Arial" w:cs="Arial"/>
          <w:color w:val="auto"/>
          <w:sz w:val="23"/>
          <w:szCs w:val="23"/>
        </w:rPr>
        <w:t xml:space="preserve">quantitative </w:t>
      </w:r>
      <w:r w:rsidRPr="00964BDD">
        <w:rPr>
          <w:rFonts w:ascii="Arial" w:hAnsi="Arial" w:cs="Arial"/>
          <w:color w:val="auto"/>
          <w:sz w:val="23"/>
          <w:szCs w:val="23"/>
        </w:rPr>
        <w:t xml:space="preserve">obligation to provide at least 3,000 people on the PUNS waiting list </w:t>
      </w:r>
      <w:r w:rsidR="005A0DB1">
        <w:rPr>
          <w:rFonts w:ascii="Arial" w:hAnsi="Arial" w:cs="Arial"/>
          <w:color w:val="auto"/>
          <w:sz w:val="23"/>
          <w:szCs w:val="23"/>
        </w:rPr>
        <w:t xml:space="preserve">with community-based services. </w:t>
      </w:r>
      <w:r w:rsidR="00E63B4D" w:rsidRPr="00964BDD">
        <w:rPr>
          <w:rFonts w:ascii="Arial" w:hAnsi="Arial" w:cs="Arial"/>
          <w:color w:val="auto"/>
          <w:sz w:val="23"/>
          <w:szCs w:val="23"/>
        </w:rPr>
        <w:t>The State</w:t>
      </w:r>
      <w:r w:rsidR="00552F1A">
        <w:rPr>
          <w:rFonts w:ascii="Arial" w:hAnsi="Arial" w:cs="Arial"/>
          <w:color w:val="auto"/>
          <w:sz w:val="23"/>
          <w:szCs w:val="23"/>
        </w:rPr>
        <w:t xml:space="preserve"> also served people in C</w:t>
      </w:r>
      <w:r w:rsidR="005A0DB1">
        <w:rPr>
          <w:rFonts w:ascii="Arial" w:hAnsi="Arial" w:cs="Arial"/>
          <w:color w:val="auto"/>
          <w:sz w:val="23"/>
          <w:szCs w:val="23"/>
        </w:rPr>
        <w:t xml:space="preserve">risis. </w:t>
      </w:r>
      <w:r w:rsidR="00E63B4D" w:rsidRPr="00964BDD">
        <w:rPr>
          <w:rFonts w:ascii="Arial" w:hAnsi="Arial" w:cs="Arial"/>
          <w:color w:val="auto"/>
          <w:sz w:val="23"/>
          <w:szCs w:val="23"/>
        </w:rPr>
        <w:t>T</w:t>
      </w:r>
      <w:r w:rsidRPr="00964BDD">
        <w:rPr>
          <w:rFonts w:ascii="Arial" w:hAnsi="Arial" w:cs="Arial"/>
          <w:color w:val="auto"/>
          <w:sz w:val="23"/>
          <w:szCs w:val="23"/>
        </w:rPr>
        <w:t>he State provided community-based placements to nearly all of those living in ICF-DDs who made a record of wanting to leave and who had been residing in an ICF-DD on or before June 15, 2011. (Note that some ICF-DD residents are still waiting for placements.)</w:t>
      </w:r>
    </w:p>
    <w:p w:rsidR="006F0E13" w:rsidRPr="006F0E13" w:rsidRDefault="006F0E13" w:rsidP="006F0E13">
      <w:pPr>
        <w:pStyle w:val="Factsubhead"/>
        <w:spacing w:before="0"/>
        <w:rPr>
          <w:rFonts w:cs="Arial"/>
          <w:b/>
          <w:color w:val="auto"/>
          <w:szCs w:val="24"/>
        </w:rPr>
      </w:pPr>
    </w:p>
    <w:p w:rsidR="00681A63" w:rsidRPr="006F0E13" w:rsidRDefault="00D41C9F" w:rsidP="006F0E13">
      <w:pPr>
        <w:pStyle w:val="Factsubhead"/>
        <w:spacing w:before="0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>What</w:t>
      </w:r>
      <w:r w:rsidR="00681A63" w:rsidRPr="006F0E13">
        <w:rPr>
          <w:rFonts w:cs="Arial"/>
          <w:b/>
          <w:color w:val="auto"/>
          <w:szCs w:val="24"/>
        </w:rPr>
        <w:t xml:space="preserve"> is left with the Consent Decree?</w:t>
      </w:r>
    </w:p>
    <w:p w:rsidR="00552F1A" w:rsidRDefault="00681A63" w:rsidP="006F0E13">
      <w:pPr>
        <w:pStyle w:val="Factsubhead"/>
        <w:spacing w:before="0"/>
        <w:rPr>
          <w:rFonts w:ascii="Arial" w:hAnsi="Arial" w:cs="Arial"/>
          <w:color w:val="auto"/>
          <w:sz w:val="23"/>
          <w:szCs w:val="23"/>
        </w:rPr>
      </w:pPr>
      <w:r w:rsidRPr="00964BDD">
        <w:rPr>
          <w:rFonts w:ascii="Arial" w:hAnsi="Arial" w:cs="Arial"/>
          <w:color w:val="auto"/>
          <w:sz w:val="23"/>
          <w:szCs w:val="23"/>
        </w:rPr>
        <w:t>The State agreed that</w:t>
      </w:r>
      <w:r w:rsidR="00A16F80" w:rsidRPr="00964BDD">
        <w:rPr>
          <w:rFonts w:ascii="Arial" w:hAnsi="Arial" w:cs="Arial"/>
          <w:color w:val="auto"/>
          <w:sz w:val="23"/>
          <w:szCs w:val="23"/>
        </w:rPr>
        <w:t>,</w:t>
      </w:r>
      <w:r w:rsidRPr="00964BDD">
        <w:rPr>
          <w:rFonts w:ascii="Arial" w:hAnsi="Arial" w:cs="Arial"/>
          <w:color w:val="auto"/>
          <w:sz w:val="23"/>
          <w:szCs w:val="23"/>
        </w:rPr>
        <w:t xml:space="preserve"> after </w:t>
      </w:r>
      <w:r w:rsidR="00112015">
        <w:rPr>
          <w:rFonts w:ascii="Arial" w:hAnsi="Arial" w:cs="Arial"/>
          <w:color w:val="auto"/>
          <w:sz w:val="23"/>
          <w:szCs w:val="23"/>
        </w:rPr>
        <w:t>6</w:t>
      </w:r>
      <w:r w:rsidRPr="00964BDD">
        <w:rPr>
          <w:rFonts w:ascii="Arial" w:hAnsi="Arial" w:cs="Arial"/>
          <w:color w:val="auto"/>
          <w:sz w:val="23"/>
          <w:szCs w:val="23"/>
        </w:rPr>
        <w:t xml:space="preserve"> years, it must provide community services to class members at a “reasonable pace” </w:t>
      </w:r>
      <w:r w:rsidR="00964BDD" w:rsidRPr="00964BDD">
        <w:rPr>
          <w:rFonts w:ascii="Arial" w:hAnsi="Arial" w:cs="Arial"/>
          <w:color w:val="auto"/>
          <w:sz w:val="23"/>
          <w:szCs w:val="23"/>
        </w:rPr>
        <w:t xml:space="preserve">over a </w:t>
      </w:r>
      <w:r w:rsidR="00552F1A">
        <w:rPr>
          <w:rFonts w:ascii="Arial" w:hAnsi="Arial" w:cs="Arial"/>
          <w:color w:val="auto"/>
          <w:sz w:val="23"/>
          <w:szCs w:val="23"/>
        </w:rPr>
        <w:t>3</w:t>
      </w:r>
      <w:r w:rsidR="005D5DBC">
        <w:rPr>
          <w:rFonts w:ascii="Arial" w:hAnsi="Arial" w:cs="Arial"/>
          <w:color w:val="auto"/>
          <w:sz w:val="23"/>
          <w:szCs w:val="23"/>
        </w:rPr>
        <w:t>-</w:t>
      </w:r>
      <w:r w:rsidR="00964BDD" w:rsidRPr="00964BDD">
        <w:rPr>
          <w:rFonts w:ascii="Arial" w:hAnsi="Arial" w:cs="Arial"/>
          <w:color w:val="auto"/>
          <w:sz w:val="23"/>
          <w:szCs w:val="23"/>
        </w:rPr>
        <w:t xml:space="preserve">year period. </w:t>
      </w:r>
      <w:r w:rsidR="00552F1A">
        <w:rPr>
          <w:rFonts w:ascii="Arial" w:hAnsi="Arial" w:cs="Arial"/>
          <w:color w:val="auto"/>
          <w:sz w:val="23"/>
          <w:szCs w:val="23"/>
        </w:rPr>
        <w:t xml:space="preserve">The State is currently in the </w:t>
      </w:r>
      <w:r w:rsidR="005D5DBC">
        <w:rPr>
          <w:rFonts w:ascii="Arial" w:hAnsi="Arial" w:cs="Arial"/>
          <w:color w:val="auto"/>
          <w:sz w:val="23"/>
          <w:szCs w:val="23"/>
        </w:rPr>
        <w:t xml:space="preserve">third </w:t>
      </w:r>
      <w:r w:rsidR="00552F1A">
        <w:rPr>
          <w:rFonts w:ascii="Arial" w:hAnsi="Arial" w:cs="Arial"/>
          <w:color w:val="auto"/>
          <w:sz w:val="23"/>
          <w:szCs w:val="23"/>
        </w:rPr>
        <w:t>year of the 3</w:t>
      </w:r>
      <w:r w:rsidR="003E14C8">
        <w:rPr>
          <w:rFonts w:ascii="Arial" w:hAnsi="Arial" w:cs="Arial"/>
          <w:color w:val="auto"/>
          <w:sz w:val="23"/>
          <w:szCs w:val="23"/>
        </w:rPr>
        <w:t>-</w:t>
      </w:r>
      <w:r w:rsidR="00552F1A">
        <w:rPr>
          <w:rFonts w:ascii="Arial" w:hAnsi="Arial" w:cs="Arial"/>
          <w:color w:val="auto"/>
          <w:sz w:val="23"/>
          <w:szCs w:val="23"/>
        </w:rPr>
        <w:t xml:space="preserve">year requirement. </w:t>
      </w:r>
    </w:p>
    <w:p w:rsidR="00A16F80" w:rsidRPr="00A466D9" w:rsidRDefault="00A16F80" w:rsidP="006F0E13">
      <w:pPr>
        <w:pStyle w:val="Factsubhead"/>
        <w:spacing w:before="0"/>
        <w:rPr>
          <w:rFonts w:ascii="Arial" w:hAnsi="Arial" w:cs="Arial"/>
          <w:color w:val="auto"/>
          <w:szCs w:val="24"/>
        </w:rPr>
      </w:pPr>
      <w:r w:rsidRPr="00A466D9">
        <w:rPr>
          <w:rFonts w:ascii="Arial" w:hAnsi="Arial" w:cs="Arial"/>
          <w:b/>
          <w:color w:val="auto"/>
          <w:szCs w:val="24"/>
        </w:rPr>
        <w:lastRenderedPageBreak/>
        <w:t>Reasonable pace means</w:t>
      </w:r>
      <w:r w:rsidRPr="00A466D9">
        <w:rPr>
          <w:rFonts w:ascii="Arial" w:hAnsi="Arial" w:cs="Arial"/>
          <w:color w:val="auto"/>
          <w:szCs w:val="24"/>
        </w:rPr>
        <w:t>:</w:t>
      </w:r>
    </w:p>
    <w:p w:rsidR="00F95639" w:rsidRPr="00964BDD" w:rsidRDefault="00A16F80">
      <w:pPr>
        <w:pStyle w:val="Factsubhead"/>
        <w:numPr>
          <w:ilvl w:val="0"/>
          <w:numId w:val="8"/>
        </w:numPr>
        <w:spacing w:before="0"/>
        <w:rPr>
          <w:rFonts w:ascii="Arial" w:hAnsi="Arial" w:cs="Arial"/>
          <w:color w:val="auto"/>
          <w:sz w:val="23"/>
          <w:szCs w:val="23"/>
        </w:rPr>
      </w:pPr>
      <w:r w:rsidRPr="00964BDD">
        <w:rPr>
          <w:rFonts w:ascii="Arial" w:hAnsi="Arial" w:cs="Arial"/>
          <w:color w:val="auto"/>
          <w:sz w:val="23"/>
          <w:szCs w:val="23"/>
        </w:rPr>
        <w:t>the State will serve a minimum of 630 new people from the PUNS list each year;</w:t>
      </w:r>
    </w:p>
    <w:p w:rsidR="00F95639" w:rsidRPr="00964BDD" w:rsidRDefault="00112015">
      <w:pPr>
        <w:pStyle w:val="Factsubhead"/>
        <w:numPr>
          <w:ilvl w:val="0"/>
          <w:numId w:val="8"/>
        </w:numPr>
        <w:spacing w:before="0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the State will serve people in C</w:t>
      </w:r>
      <w:r w:rsidR="00A16F80" w:rsidRPr="00964BDD">
        <w:rPr>
          <w:rFonts w:ascii="Arial" w:hAnsi="Arial" w:cs="Arial"/>
          <w:color w:val="auto"/>
          <w:sz w:val="23"/>
          <w:szCs w:val="23"/>
        </w:rPr>
        <w:t>risis expeditiously and wi</w:t>
      </w:r>
      <w:r>
        <w:rPr>
          <w:rFonts w:ascii="Arial" w:hAnsi="Arial" w:cs="Arial"/>
          <w:color w:val="auto"/>
          <w:sz w:val="23"/>
          <w:szCs w:val="23"/>
        </w:rPr>
        <w:t>thout a cap, and the people in C</w:t>
      </w:r>
      <w:r w:rsidR="00A16F80" w:rsidRPr="00964BDD">
        <w:rPr>
          <w:rFonts w:ascii="Arial" w:hAnsi="Arial" w:cs="Arial"/>
          <w:color w:val="auto"/>
          <w:sz w:val="23"/>
          <w:szCs w:val="23"/>
        </w:rPr>
        <w:t>risis will not count towards the 630 new people;</w:t>
      </w:r>
    </w:p>
    <w:p w:rsidR="00F95639" w:rsidRPr="00964BDD" w:rsidRDefault="00A16F80">
      <w:pPr>
        <w:pStyle w:val="Factsubhead"/>
        <w:numPr>
          <w:ilvl w:val="0"/>
          <w:numId w:val="8"/>
        </w:numPr>
        <w:spacing w:before="0"/>
        <w:rPr>
          <w:rFonts w:ascii="Arial" w:hAnsi="Arial" w:cs="Arial"/>
          <w:color w:val="auto"/>
          <w:sz w:val="23"/>
          <w:szCs w:val="23"/>
        </w:rPr>
      </w:pPr>
      <w:r w:rsidRPr="00964BDD">
        <w:rPr>
          <w:rFonts w:ascii="Arial" w:hAnsi="Arial" w:cs="Arial"/>
          <w:color w:val="auto"/>
          <w:sz w:val="23"/>
          <w:szCs w:val="23"/>
        </w:rPr>
        <w:t xml:space="preserve">the State will allow </w:t>
      </w:r>
      <w:r w:rsidR="00964BDD" w:rsidRPr="00964BDD">
        <w:rPr>
          <w:rFonts w:ascii="Arial" w:hAnsi="Arial" w:cs="Arial"/>
          <w:color w:val="auto"/>
          <w:sz w:val="23"/>
          <w:szCs w:val="23"/>
        </w:rPr>
        <w:t xml:space="preserve">moving </w:t>
      </w:r>
      <w:r w:rsidRPr="00964BDD">
        <w:rPr>
          <w:rFonts w:ascii="Arial" w:hAnsi="Arial" w:cs="Arial"/>
          <w:color w:val="auto"/>
          <w:sz w:val="23"/>
          <w:szCs w:val="23"/>
        </w:rPr>
        <w:t xml:space="preserve">within the waiver (from CILA to home-based and vice-versa) </w:t>
      </w:r>
      <w:r w:rsidR="00964BDD" w:rsidRPr="00964BDD">
        <w:rPr>
          <w:rFonts w:ascii="Arial" w:hAnsi="Arial" w:cs="Arial"/>
          <w:color w:val="auto"/>
          <w:sz w:val="23"/>
          <w:szCs w:val="23"/>
        </w:rPr>
        <w:t>and not count people moving</w:t>
      </w:r>
      <w:r w:rsidRPr="00964BDD">
        <w:rPr>
          <w:rFonts w:ascii="Arial" w:hAnsi="Arial" w:cs="Arial"/>
          <w:color w:val="auto"/>
          <w:sz w:val="23"/>
          <w:szCs w:val="23"/>
        </w:rPr>
        <w:t xml:space="preserve"> within the waiver towards the 630 </w:t>
      </w:r>
      <w:proofErr w:type="gramStart"/>
      <w:r w:rsidRPr="00964BDD">
        <w:rPr>
          <w:rFonts w:ascii="Arial" w:hAnsi="Arial" w:cs="Arial"/>
          <w:color w:val="auto"/>
          <w:sz w:val="23"/>
          <w:szCs w:val="23"/>
        </w:rPr>
        <w:t>minimum</w:t>
      </w:r>
      <w:proofErr w:type="gramEnd"/>
      <w:r w:rsidRPr="00964BDD">
        <w:rPr>
          <w:rFonts w:ascii="Arial" w:hAnsi="Arial" w:cs="Arial"/>
          <w:color w:val="auto"/>
          <w:sz w:val="23"/>
          <w:szCs w:val="23"/>
        </w:rPr>
        <w:t>;</w:t>
      </w:r>
    </w:p>
    <w:p w:rsidR="00F95639" w:rsidRPr="00964BDD" w:rsidRDefault="00A16F80">
      <w:pPr>
        <w:pStyle w:val="Factsubhead"/>
        <w:numPr>
          <w:ilvl w:val="0"/>
          <w:numId w:val="8"/>
        </w:numPr>
        <w:spacing w:before="0"/>
        <w:rPr>
          <w:rFonts w:ascii="Arial" w:hAnsi="Arial" w:cs="Arial"/>
          <w:color w:val="auto"/>
          <w:sz w:val="23"/>
          <w:szCs w:val="23"/>
        </w:rPr>
      </w:pPr>
      <w:r w:rsidRPr="00964BDD">
        <w:rPr>
          <w:rFonts w:ascii="Arial" w:hAnsi="Arial" w:cs="Arial"/>
          <w:color w:val="auto"/>
          <w:sz w:val="23"/>
          <w:szCs w:val="23"/>
        </w:rPr>
        <w:t xml:space="preserve">people in ICF-DDs can </w:t>
      </w:r>
      <w:r w:rsidR="00964BDD" w:rsidRPr="00964BDD">
        <w:rPr>
          <w:rFonts w:ascii="Arial" w:hAnsi="Arial" w:cs="Arial"/>
          <w:color w:val="auto"/>
          <w:sz w:val="23"/>
          <w:szCs w:val="23"/>
        </w:rPr>
        <w:t xml:space="preserve">become Class Members </w:t>
      </w:r>
      <w:r w:rsidR="005D5DBC">
        <w:rPr>
          <w:rFonts w:ascii="Arial" w:hAnsi="Arial" w:cs="Arial"/>
          <w:color w:val="auto"/>
          <w:sz w:val="23"/>
          <w:szCs w:val="23"/>
        </w:rPr>
        <w:t>by getting on</w:t>
      </w:r>
      <w:r w:rsidRPr="00964BDD">
        <w:rPr>
          <w:rFonts w:ascii="Arial" w:hAnsi="Arial" w:cs="Arial"/>
          <w:color w:val="auto"/>
          <w:sz w:val="23"/>
          <w:szCs w:val="23"/>
        </w:rPr>
        <w:t xml:space="preserve"> the PUNS list.</w:t>
      </w:r>
    </w:p>
    <w:p w:rsidR="00A16F80" w:rsidRPr="00964BDD" w:rsidRDefault="00A16F80" w:rsidP="006F0E13">
      <w:pPr>
        <w:pStyle w:val="Factsubhead"/>
        <w:spacing w:before="0"/>
        <w:rPr>
          <w:rFonts w:ascii="Arial" w:hAnsi="Arial" w:cs="Arial"/>
          <w:color w:val="auto"/>
          <w:sz w:val="23"/>
          <w:szCs w:val="23"/>
        </w:rPr>
      </w:pPr>
    </w:p>
    <w:p w:rsidR="006F0E13" w:rsidRPr="00964BDD" w:rsidRDefault="00100F8C" w:rsidP="00E5011C">
      <w:pPr>
        <w:pStyle w:val="Factsubhead"/>
        <w:spacing w:before="0"/>
        <w:rPr>
          <w:rFonts w:ascii="Arial" w:hAnsi="Arial" w:cs="Arial"/>
          <w:color w:val="auto"/>
          <w:sz w:val="23"/>
          <w:szCs w:val="23"/>
        </w:rPr>
      </w:pPr>
      <w:r w:rsidRPr="006F0E13">
        <w:rPr>
          <w:rFonts w:cs="Arial"/>
          <w:b/>
          <w:color w:val="auto"/>
          <w:szCs w:val="24"/>
        </w:rPr>
        <w:t>Is the State in Compliance with the Qualitative Aspects of the Consent Decree?</w:t>
      </w:r>
      <w:r w:rsidR="003E14C8">
        <w:rPr>
          <w:rFonts w:cs="Arial"/>
          <w:b/>
          <w:color w:val="auto"/>
          <w:szCs w:val="24"/>
        </w:rPr>
        <w:t xml:space="preserve"> </w:t>
      </w:r>
      <w:r w:rsidRPr="006F0E13">
        <w:rPr>
          <w:rFonts w:cs="Arial"/>
          <w:b/>
          <w:color w:val="auto"/>
          <w:szCs w:val="24"/>
        </w:rPr>
        <w:t>No.</w:t>
      </w:r>
      <w:r w:rsidRPr="006F0E13">
        <w:rPr>
          <w:rFonts w:cs="Arial"/>
          <w:color w:val="auto"/>
          <w:szCs w:val="24"/>
        </w:rPr>
        <w:t xml:space="preserve"> </w:t>
      </w:r>
      <w:r w:rsidRPr="00964BDD">
        <w:rPr>
          <w:rFonts w:ascii="Arial" w:hAnsi="Arial" w:cs="Arial"/>
          <w:color w:val="auto"/>
          <w:sz w:val="23"/>
          <w:szCs w:val="23"/>
        </w:rPr>
        <w:t>The Consent Decree</w:t>
      </w:r>
      <w:r w:rsidR="00964BDD" w:rsidRPr="00964BDD">
        <w:rPr>
          <w:rFonts w:ascii="Arial" w:hAnsi="Arial" w:cs="Arial"/>
          <w:color w:val="auto"/>
          <w:sz w:val="23"/>
          <w:szCs w:val="23"/>
        </w:rPr>
        <w:t xml:space="preserve"> requires </w:t>
      </w:r>
      <w:r w:rsidR="0031243E" w:rsidRPr="00964BDD">
        <w:rPr>
          <w:rFonts w:ascii="Arial" w:hAnsi="Arial" w:cs="Arial"/>
          <w:color w:val="auto"/>
          <w:sz w:val="23"/>
          <w:szCs w:val="23"/>
        </w:rPr>
        <w:t>an</w:t>
      </w:r>
      <w:r w:rsidRPr="00964BDD">
        <w:rPr>
          <w:rFonts w:ascii="Arial" w:hAnsi="Arial" w:cs="Arial"/>
          <w:color w:val="auto"/>
          <w:sz w:val="23"/>
          <w:szCs w:val="23"/>
        </w:rPr>
        <w:t xml:space="preserve"> Independent Monitor determine </w:t>
      </w:r>
      <w:r w:rsidR="0031243E" w:rsidRPr="00964BDD">
        <w:rPr>
          <w:rFonts w:ascii="Arial" w:hAnsi="Arial" w:cs="Arial"/>
          <w:color w:val="auto"/>
          <w:sz w:val="23"/>
          <w:szCs w:val="23"/>
        </w:rPr>
        <w:t xml:space="preserve">annually </w:t>
      </w:r>
      <w:r w:rsidRPr="00964BDD">
        <w:rPr>
          <w:rFonts w:ascii="Arial" w:hAnsi="Arial" w:cs="Arial"/>
          <w:color w:val="auto"/>
          <w:sz w:val="23"/>
          <w:szCs w:val="23"/>
        </w:rPr>
        <w:t>wheth</w:t>
      </w:r>
      <w:r w:rsidR="00873D8C" w:rsidRPr="00964BDD">
        <w:rPr>
          <w:rFonts w:ascii="Arial" w:hAnsi="Arial" w:cs="Arial"/>
          <w:color w:val="auto"/>
          <w:sz w:val="23"/>
          <w:szCs w:val="23"/>
        </w:rPr>
        <w:t xml:space="preserve">er the State </w:t>
      </w:r>
      <w:proofErr w:type="gramStart"/>
      <w:r w:rsidR="00873D8C" w:rsidRPr="00964BDD">
        <w:rPr>
          <w:rFonts w:ascii="Arial" w:hAnsi="Arial" w:cs="Arial"/>
          <w:color w:val="auto"/>
          <w:sz w:val="23"/>
          <w:szCs w:val="23"/>
        </w:rPr>
        <w:t>is in Compliance</w:t>
      </w:r>
      <w:proofErr w:type="gramEnd"/>
      <w:r w:rsidR="00873D8C" w:rsidRPr="00964BDD">
        <w:rPr>
          <w:rFonts w:ascii="Arial" w:hAnsi="Arial" w:cs="Arial"/>
          <w:color w:val="auto"/>
          <w:sz w:val="23"/>
          <w:szCs w:val="23"/>
        </w:rPr>
        <w:t xml:space="preserve">. </w:t>
      </w:r>
      <w:r w:rsidRPr="00964BDD">
        <w:rPr>
          <w:rFonts w:ascii="Arial" w:hAnsi="Arial" w:cs="Arial"/>
          <w:color w:val="auto"/>
          <w:sz w:val="23"/>
          <w:szCs w:val="23"/>
        </w:rPr>
        <w:t xml:space="preserve">The current Monitor Ronnie Cohn </w:t>
      </w:r>
      <w:r w:rsidR="00964BDD">
        <w:rPr>
          <w:rFonts w:ascii="Arial" w:hAnsi="Arial" w:cs="Arial"/>
          <w:color w:val="auto"/>
          <w:sz w:val="23"/>
          <w:szCs w:val="23"/>
        </w:rPr>
        <w:t xml:space="preserve">(who can be reached at </w:t>
      </w:r>
      <w:hyperlink r:id="rId8" w:history="1">
        <w:r w:rsidR="005A0DB1" w:rsidRPr="00115216">
          <w:rPr>
            <w:rStyle w:val="Hyperlink"/>
            <w:rFonts w:ascii="Arial" w:hAnsi="Arial" w:cs="Arial"/>
            <w:sz w:val="23"/>
            <w:szCs w:val="23"/>
          </w:rPr>
          <w:t>ligas.monitor@gmail.com</w:t>
        </w:r>
      </w:hyperlink>
      <w:r w:rsidR="005A0DB1">
        <w:rPr>
          <w:rFonts w:ascii="Arial" w:hAnsi="Arial" w:cs="Arial"/>
          <w:color w:val="auto"/>
          <w:sz w:val="23"/>
          <w:szCs w:val="23"/>
        </w:rPr>
        <w:t>)</w:t>
      </w:r>
      <w:r w:rsidR="003E14C8">
        <w:rPr>
          <w:rFonts w:ascii="Arial" w:hAnsi="Arial" w:cs="Arial"/>
          <w:color w:val="auto"/>
          <w:sz w:val="23"/>
          <w:szCs w:val="23"/>
        </w:rPr>
        <w:t>, first</w:t>
      </w:r>
      <w:r w:rsidR="00112015">
        <w:rPr>
          <w:rFonts w:ascii="Arial" w:hAnsi="Arial" w:cs="Arial"/>
          <w:color w:val="auto"/>
          <w:sz w:val="23"/>
          <w:szCs w:val="23"/>
        </w:rPr>
        <w:t xml:space="preserve"> </w:t>
      </w:r>
      <w:r w:rsidRPr="00964BDD">
        <w:rPr>
          <w:rFonts w:ascii="Arial" w:hAnsi="Arial" w:cs="Arial"/>
          <w:color w:val="auto"/>
          <w:sz w:val="23"/>
          <w:szCs w:val="23"/>
        </w:rPr>
        <w:t>found the State o</w:t>
      </w:r>
      <w:r w:rsidR="00873D8C" w:rsidRPr="00964BDD">
        <w:rPr>
          <w:rFonts w:ascii="Arial" w:hAnsi="Arial" w:cs="Arial"/>
          <w:color w:val="auto"/>
          <w:sz w:val="23"/>
          <w:szCs w:val="23"/>
        </w:rPr>
        <w:t>ut of compliance</w:t>
      </w:r>
      <w:r w:rsidR="00964BDD">
        <w:rPr>
          <w:rFonts w:ascii="Arial" w:hAnsi="Arial" w:cs="Arial"/>
          <w:color w:val="auto"/>
          <w:sz w:val="23"/>
          <w:szCs w:val="23"/>
        </w:rPr>
        <w:t xml:space="preserve"> </w:t>
      </w:r>
      <w:r w:rsidR="003E14C8">
        <w:rPr>
          <w:rFonts w:ascii="Arial" w:hAnsi="Arial" w:cs="Arial"/>
          <w:color w:val="auto"/>
          <w:sz w:val="23"/>
          <w:szCs w:val="23"/>
        </w:rPr>
        <w:t>in</w:t>
      </w:r>
      <w:r w:rsidR="00112015">
        <w:rPr>
          <w:rFonts w:ascii="Arial" w:hAnsi="Arial" w:cs="Arial"/>
          <w:color w:val="auto"/>
          <w:sz w:val="23"/>
          <w:szCs w:val="23"/>
        </w:rPr>
        <w:t xml:space="preserve"> </w:t>
      </w:r>
      <w:r w:rsidR="00964BDD">
        <w:rPr>
          <w:rFonts w:ascii="Arial" w:hAnsi="Arial" w:cs="Arial"/>
          <w:color w:val="auto"/>
          <w:sz w:val="23"/>
          <w:szCs w:val="23"/>
        </w:rPr>
        <w:t>2017</w:t>
      </w:r>
      <w:r w:rsidR="00873D8C" w:rsidRPr="00964BDD">
        <w:rPr>
          <w:rFonts w:ascii="Arial" w:hAnsi="Arial" w:cs="Arial"/>
          <w:color w:val="auto"/>
          <w:sz w:val="23"/>
          <w:szCs w:val="23"/>
        </w:rPr>
        <w:t xml:space="preserve">. </w:t>
      </w:r>
      <w:r w:rsidR="0031243E" w:rsidRPr="00964BDD">
        <w:rPr>
          <w:rFonts w:ascii="Arial" w:hAnsi="Arial" w:cs="Arial"/>
          <w:color w:val="auto"/>
          <w:sz w:val="23"/>
          <w:szCs w:val="23"/>
        </w:rPr>
        <w:t>Attorneys for Plaintiffs</w:t>
      </w:r>
      <w:r w:rsidR="00386305" w:rsidRPr="00964BDD">
        <w:rPr>
          <w:rFonts w:ascii="Arial" w:hAnsi="Arial" w:cs="Arial"/>
          <w:color w:val="auto"/>
          <w:sz w:val="23"/>
          <w:szCs w:val="23"/>
        </w:rPr>
        <w:t xml:space="preserve"> and </w:t>
      </w:r>
      <w:r w:rsidRPr="00964BDD">
        <w:rPr>
          <w:rFonts w:ascii="Arial" w:hAnsi="Arial" w:cs="Arial"/>
          <w:color w:val="auto"/>
          <w:sz w:val="23"/>
          <w:szCs w:val="23"/>
        </w:rPr>
        <w:t xml:space="preserve">Intervenors filed a Motion for Enforcement asking the Judge to find the State out of compliance because Class Members and people who chose to stay in the ICF-DDs were not getting what they were entitled to under the Consent Decree. </w:t>
      </w:r>
      <w:r w:rsidR="00964BDD" w:rsidRPr="00964BDD">
        <w:rPr>
          <w:rFonts w:ascii="Arial" w:hAnsi="Arial" w:cs="Arial"/>
          <w:color w:val="auto"/>
          <w:sz w:val="23"/>
          <w:szCs w:val="23"/>
        </w:rPr>
        <w:t xml:space="preserve">In </w:t>
      </w:r>
      <w:r w:rsidR="00C3765B" w:rsidRPr="00964BDD">
        <w:rPr>
          <w:rFonts w:ascii="Arial" w:hAnsi="Arial" w:cs="Arial"/>
          <w:color w:val="auto"/>
          <w:sz w:val="23"/>
          <w:szCs w:val="23"/>
        </w:rPr>
        <w:t>201</w:t>
      </w:r>
      <w:r w:rsidR="00E5011C" w:rsidRPr="00964BDD">
        <w:rPr>
          <w:rFonts w:ascii="Arial" w:hAnsi="Arial" w:cs="Arial"/>
          <w:color w:val="auto"/>
          <w:sz w:val="23"/>
          <w:szCs w:val="23"/>
        </w:rPr>
        <w:t>7, the</w:t>
      </w:r>
      <w:r w:rsidRPr="00964BDD">
        <w:rPr>
          <w:rFonts w:ascii="Arial" w:hAnsi="Arial" w:cs="Arial"/>
          <w:color w:val="auto"/>
          <w:sz w:val="23"/>
          <w:szCs w:val="23"/>
        </w:rPr>
        <w:t xml:space="preserve"> Judge agr</w:t>
      </w:r>
      <w:r w:rsidR="0031243E" w:rsidRPr="00964BDD">
        <w:rPr>
          <w:rFonts w:ascii="Arial" w:hAnsi="Arial" w:cs="Arial"/>
          <w:color w:val="auto"/>
          <w:sz w:val="23"/>
          <w:szCs w:val="23"/>
        </w:rPr>
        <w:t>eed and found the State out of c</w:t>
      </w:r>
      <w:r w:rsidR="00873D8C" w:rsidRPr="00964BDD">
        <w:rPr>
          <w:rFonts w:ascii="Arial" w:hAnsi="Arial" w:cs="Arial"/>
          <w:color w:val="auto"/>
          <w:sz w:val="23"/>
          <w:szCs w:val="23"/>
        </w:rPr>
        <w:t xml:space="preserve">ompliance. </w:t>
      </w:r>
      <w:r w:rsidR="00552F1A">
        <w:rPr>
          <w:rFonts w:ascii="Arial" w:hAnsi="Arial" w:cs="Arial"/>
          <w:color w:val="auto"/>
          <w:sz w:val="23"/>
          <w:szCs w:val="23"/>
        </w:rPr>
        <w:t>The Judge</w:t>
      </w:r>
      <w:r w:rsidRPr="00964BDD">
        <w:rPr>
          <w:rFonts w:ascii="Arial" w:hAnsi="Arial" w:cs="Arial"/>
          <w:color w:val="auto"/>
          <w:sz w:val="23"/>
          <w:szCs w:val="23"/>
        </w:rPr>
        <w:t xml:space="preserve"> ordered the State to submit a plan</w:t>
      </w:r>
      <w:r w:rsidR="006F0E13" w:rsidRPr="00964BDD">
        <w:rPr>
          <w:rFonts w:ascii="Arial" w:hAnsi="Arial" w:cs="Arial"/>
          <w:color w:val="auto"/>
          <w:sz w:val="23"/>
          <w:szCs w:val="23"/>
        </w:rPr>
        <w:t xml:space="preserve"> to bring the St</w:t>
      </w:r>
      <w:r w:rsidR="00616FF7" w:rsidRPr="00964BDD">
        <w:rPr>
          <w:rFonts w:ascii="Arial" w:hAnsi="Arial" w:cs="Arial"/>
          <w:color w:val="auto"/>
          <w:sz w:val="23"/>
          <w:szCs w:val="23"/>
        </w:rPr>
        <w:t>ate into compliance.</w:t>
      </w:r>
      <w:r w:rsidR="00E5011C" w:rsidRPr="00964BDD">
        <w:rPr>
          <w:rFonts w:ascii="Arial" w:hAnsi="Arial" w:cs="Arial"/>
          <w:color w:val="auto"/>
          <w:sz w:val="23"/>
          <w:szCs w:val="23"/>
        </w:rPr>
        <w:t xml:space="preserve"> The State su</w:t>
      </w:r>
      <w:r w:rsidR="00873D8C" w:rsidRPr="00964BDD">
        <w:rPr>
          <w:rFonts w:ascii="Arial" w:hAnsi="Arial" w:cs="Arial"/>
          <w:color w:val="auto"/>
          <w:sz w:val="23"/>
          <w:szCs w:val="23"/>
        </w:rPr>
        <w:t>bmitted a</w:t>
      </w:r>
      <w:r w:rsidR="00D41C9F" w:rsidRPr="00964BDD">
        <w:rPr>
          <w:rFonts w:ascii="Arial" w:hAnsi="Arial" w:cs="Arial"/>
          <w:color w:val="auto"/>
          <w:sz w:val="23"/>
          <w:szCs w:val="23"/>
        </w:rPr>
        <w:t xml:space="preserve"> Compliance Plan, and in</w:t>
      </w:r>
      <w:r w:rsidR="00E5011C" w:rsidRPr="00964BDD">
        <w:rPr>
          <w:rFonts w:ascii="Arial" w:hAnsi="Arial" w:cs="Arial"/>
          <w:color w:val="auto"/>
          <w:sz w:val="23"/>
          <w:szCs w:val="23"/>
        </w:rPr>
        <w:t xml:space="preserve"> 2018, </w:t>
      </w:r>
      <w:r w:rsidR="00D41C9F" w:rsidRPr="00964BDD">
        <w:rPr>
          <w:rFonts w:ascii="Arial" w:hAnsi="Arial" w:cs="Arial"/>
          <w:color w:val="auto"/>
          <w:sz w:val="23"/>
          <w:szCs w:val="23"/>
        </w:rPr>
        <w:t>t</w:t>
      </w:r>
      <w:r w:rsidR="00E5011C" w:rsidRPr="00964BDD">
        <w:rPr>
          <w:rFonts w:ascii="Arial" w:hAnsi="Arial" w:cs="Arial"/>
          <w:color w:val="auto"/>
          <w:sz w:val="23"/>
          <w:szCs w:val="23"/>
        </w:rPr>
        <w:t xml:space="preserve">he Judge found the State’s Plan inadequate and ordered the State </w:t>
      </w:r>
      <w:r w:rsidR="00D41C9F" w:rsidRPr="00964BDD">
        <w:rPr>
          <w:rFonts w:ascii="Arial" w:hAnsi="Arial" w:cs="Arial"/>
          <w:color w:val="auto"/>
          <w:sz w:val="23"/>
          <w:szCs w:val="23"/>
        </w:rPr>
        <w:t xml:space="preserve">to review its rates structure. </w:t>
      </w:r>
      <w:r w:rsidR="00E5011C" w:rsidRPr="00964BDD">
        <w:rPr>
          <w:rFonts w:ascii="Arial" w:hAnsi="Arial" w:cs="Arial"/>
          <w:color w:val="auto"/>
          <w:sz w:val="23"/>
          <w:szCs w:val="23"/>
        </w:rPr>
        <w:t xml:space="preserve">The State </w:t>
      </w:r>
      <w:r w:rsidR="00112015">
        <w:rPr>
          <w:rFonts w:ascii="Arial" w:hAnsi="Arial" w:cs="Arial"/>
          <w:color w:val="auto"/>
          <w:sz w:val="23"/>
          <w:szCs w:val="23"/>
        </w:rPr>
        <w:t>convened Stakeholders, hired a Consultant and in December 2020</w:t>
      </w:r>
      <w:r w:rsidR="00552F1A">
        <w:rPr>
          <w:rFonts w:ascii="Arial" w:hAnsi="Arial" w:cs="Arial"/>
          <w:color w:val="auto"/>
          <w:sz w:val="23"/>
          <w:szCs w:val="23"/>
        </w:rPr>
        <w:t>,</w:t>
      </w:r>
      <w:r w:rsidR="00112015">
        <w:rPr>
          <w:rFonts w:ascii="Arial" w:hAnsi="Arial" w:cs="Arial"/>
          <w:color w:val="auto"/>
          <w:sz w:val="23"/>
          <w:szCs w:val="23"/>
        </w:rPr>
        <w:t xml:space="preserve"> issued a Report with recommendations to revise its rates structur</w:t>
      </w:r>
      <w:r w:rsidR="003E14C8">
        <w:rPr>
          <w:rFonts w:ascii="Arial" w:hAnsi="Arial" w:cs="Arial"/>
          <w:color w:val="auto"/>
          <w:sz w:val="23"/>
          <w:szCs w:val="23"/>
        </w:rPr>
        <w:t xml:space="preserve">e. The State has begun implementation of </w:t>
      </w:r>
      <w:r w:rsidR="0000405D">
        <w:rPr>
          <w:rFonts w:ascii="Arial" w:hAnsi="Arial" w:cs="Arial"/>
          <w:color w:val="auto"/>
          <w:sz w:val="23"/>
          <w:szCs w:val="23"/>
        </w:rPr>
        <w:t xml:space="preserve">some of </w:t>
      </w:r>
      <w:r w:rsidR="003E14C8">
        <w:rPr>
          <w:rFonts w:ascii="Arial" w:hAnsi="Arial" w:cs="Arial"/>
          <w:color w:val="auto"/>
          <w:sz w:val="23"/>
          <w:szCs w:val="23"/>
        </w:rPr>
        <w:t>those recommendations</w:t>
      </w:r>
      <w:r w:rsidR="0000405D">
        <w:rPr>
          <w:rFonts w:ascii="Arial" w:hAnsi="Arial" w:cs="Arial"/>
          <w:color w:val="auto"/>
          <w:sz w:val="23"/>
          <w:szCs w:val="23"/>
        </w:rPr>
        <w:t xml:space="preserve"> and responding to the Monitor’s findings.</w:t>
      </w:r>
    </w:p>
    <w:p w:rsidR="006F0E13" w:rsidRPr="006F0E13" w:rsidRDefault="006F0E13" w:rsidP="006F0E13">
      <w:pPr>
        <w:pStyle w:val="Factsubhead"/>
        <w:spacing w:before="0"/>
        <w:rPr>
          <w:b/>
          <w:color w:val="auto"/>
          <w:szCs w:val="24"/>
        </w:rPr>
      </w:pPr>
    </w:p>
    <w:p w:rsidR="006F0E13" w:rsidRPr="006F0E13" w:rsidRDefault="006F0E13" w:rsidP="006F0E13">
      <w:pPr>
        <w:pStyle w:val="Factsubhead"/>
        <w:spacing w:before="0"/>
        <w:rPr>
          <w:b/>
          <w:color w:val="auto"/>
          <w:szCs w:val="24"/>
        </w:rPr>
      </w:pPr>
      <w:r w:rsidRPr="006F0E13">
        <w:rPr>
          <w:b/>
          <w:color w:val="auto"/>
          <w:szCs w:val="24"/>
        </w:rPr>
        <w:t>When will the Consent Decree End?</w:t>
      </w:r>
    </w:p>
    <w:p w:rsidR="006F0E13" w:rsidRPr="00964BDD" w:rsidRDefault="00E5011C" w:rsidP="006F0E13">
      <w:pPr>
        <w:pStyle w:val="Factsubhead"/>
        <w:spacing w:before="0"/>
        <w:rPr>
          <w:rFonts w:ascii="Arial" w:hAnsi="Arial" w:cs="Arial"/>
          <w:color w:val="auto"/>
          <w:sz w:val="23"/>
          <w:szCs w:val="23"/>
        </w:rPr>
      </w:pPr>
      <w:r w:rsidRPr="00964BDD">
        <w:rPr>
          <w:rFonts w:ascii="Arial" w:hAnsi="Arial" w:cs="Arial"/>
          <w:color w:val="auto"/>
          <w:sz w:val="23"/>
          <w:szCs w:val="23"/>
        </w:rPr>
        <w:t>Once the State feels it has met all of the requirements of the Decree, including moving people off the waiting list</w:t>
      </w:r>
      <w:r w:rsidR="00552F1A">
        <w:rPr>
          <w:rFonts w:ascii="Arial" w:hAnsi="Arial" w:cs="Arial"/>
          <w:color w:val="auto"/>
          <w:sz w:val="23"/>
          <w:szCs w:val="23"/>
        </w:rPr>
        <w:t xml:space="preserve"> at a reasonable pace for 3 </w:t>
      </w:r>
      <w:r w:rsidRPr="00964BDD">
        <w:rPr>
          <w:rFonts w:ascii="Arial" w:hAnsi="Arial" w:cs="Arial"/>
          <w:color w:val="auto"/>
          <w:sz w:val="23"/>
          <w:szCs w:val="23"/>
        </w:rPr>
        <w:t xml:space="preserve">years, the State can request that the Consent Decree </w:t>
      </w:r>
      <w:r w:rsidR="00C3765B" w:rsidRPr="00964BDD">
        <w:rPr>
          <w:rFonts w:ascii="Arial" w:hAnsi="Arial" w:cs="Arial"/>
          <w:color w:val="auto"/>
          <w:sz w:val="23"/>
          <w:szCs w:val="23"/>
        </w:rPr>
        <w:t>end</w:t>
      </w:r>
      <w:r w:rsidRPr="00964BDD">
        <w:rPr>
          <w:rFonts w:ascii="Arial" w:hAnsi="Arial" w:cs="Arial"/>
          <w:color w:val="auto"/>
          <w:sz w:val="23"/>
          <w:szCs w:val="23"/>
        </w:rPr>
        <w:t xml:space="preserve">. </w:t>
      </w:r>
      <w:r w:rsidR="003704E5" w:rsidRPr="00964BDD">
        <w:rPr>
          <w:rFonts w:ascii="Arial" w:hAnsi="Arial" w:cs="Arial"/>
          <w:color w:val="auto"/>
          <w:sz w:val="23"/>
          <w:szCs w:val="23"/>
        </w:rPr>
        <w:t xml:space="preserve">Plaintiffs, Intervenors and the Independent Monitor </w:t>
      </w:r>
      <w:r w:rsidR="003704E5">
        <w:rPr>
          <w:rFonts w:ascii="Arial" w:hAnsi="Arial" w:cs="Arial"/>
          <w:color w:val="auto"/>
          <w:sz w:val="23"/>
          <w:szCs w:val="23"/>
        </w:rPr>
        <w:t>would then</w:t>
      </w:r>
      <w:r w:rsidR="003704E5" w:rsidRPr="00964BDD">
        <w:rPr>
          <w:rFonts w:ascii="Arial" w:hAnsi="Arial" w:cs="Arial"/>
          <w:color w:val="auto"/>
          <w:sz w:val="23"/>
          <w:szCs w:val="23"/>
        </w:rPr>
        <w:t xml:space="preserve"> be able to weigh in on whether the State is in “substantial compliance” and then the Judge </w:t>
      </w:r>
      <w:r w:rsidR="003704E5">
        <w:rPr>
          <w:rFonts w:ascii="Arial" w:hAnsi="Arial" w:cs="Arial"/>
          <w:color w:val="auto"/>
          <w:sz w:val="23"/>
          <w:szCs w:val="23"/>
        </w:rPr>
        <w:t xml:space="preserve">would </w:t>
      </w:r>
      <w:r w:rsidR="003704E5" w:rsidRPr="00964BDD">
        <w:rPr>
          <w:rFonts w:ascii="Arial" w:hAnsi="Arial" w:cs="Arial"/>
          <w:color w:val="auto"/>
          <w:sz w:val="23"/>
          <w:szCs w:val="23"/>
        </w:rPr>
        <w:t>decid</w:t>
      </w:r>
      <w:r w:rsidR="003704E5">
        <w:rPr>
          <w:rFonts w:ascii="Arial" w:hAnsi="Arial" w:cs="Arial"/>
          <w:color w:val="auto"/>
          <w:sz w:val="23"/>
          <w:szCs w:val="23"/>
        </w:rPr>
        <w:t>e. To end the Decree,</w:t>
      </w:r>
      <w:r w:rsidR="006F0E13" w:rsidRPr="00964BDD">
        <w:rPr>
          <w:rFonts w:ascii="Arial" w:hAnsi="Arial" w:cs="Arial"/>
          <w:color w:val="auto"/>
          <w:sz w:val="23"/>
          <w:szCs w:val="23"/>
        </w:rPr>
        <w:t xml:space="preserve"> the Judge would have to find that the State </w:t>
      </w:r>
      <w:r w:rsidR="003704E5">
        <w:rPr>
          <w:rFonts w:ascii="Arial" w:hAnsi="Arial" w:cs="Arial"/>
          <w:color w:val="000000" w:themeColor="text1"/>
          <w:sz w:val="23"/>
          <w:szCs w:val="23"/>
        </w:rPr>
        <w:t xml:space="preserve">has </w:t>
      </w:r>
      <w:r w:rsidR="003E14C8" w:rsidRPr="003E14C8">
        <w:rPr>
          <w:rFonts w:ascii="Arial" w:hAnsi="Arial" w:cs="Arial"/>
          <w:color w:val="000000" w:themeColor="text1"/>
          <w:sz w:val="23"/>
          <w:szCs w:val="23"/>
        </w:rPr>
        <w:t xml:space="preserve">substantially complied with the terms of the Decree and </w:t>
      </w:r>
      <w:r w:rsidR="0000405D">
        <w:rPr>
          <w:rFonts w:ascii="Arial" w:hAnsi="Arial" w:cs="Arial"/>
          <w:color w:val="000000" w:themeColor="text1"/>
          <w:sz w:val="23"/>
          <w:szCs w:val="23"/>
        </w:rPr>
        <w:t>determin</w:t>
      </w:r>
      <w:r w:rsidR="005D5DBC">
        <w:rPr>
          <w:rFonts w:ascii="Arial" w:hAnsi="Arial" w:cs="Arial"/>
          <w:color w:val="000000" w:themeColor="text1"/>
          <w:sz w:val="23"/>
          <w:szCs w:val="23"/>
        </w:rPr>
        <w:t>e</w:t>
      </w:r>
      <w:bookmarkStart w:id="2" w:name="_GoBack"/>
      <w:bookmarkEnd w:id="2"/>
      <w:r w:rsidR="003E14C8" w:rsidRPr="003E14C8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3704E5">
        <w:rPr>
          <w:rFonts w:ascii="Arial" w:hAnsi="Arial" w:cs="Arial"/>
          <w:color w:val="000000" w:themeColor="text1"/>
          <w:sz w:val="23"/>
          <w:szCs w:val="23"/>
        </w:rPr>
        <w:t>that the State has</w:t>
      </w:r>
      <w:r w:rsidR="003E14C8" w:rsidRPr="003E14C8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996302">
        <w:rPr>
          <w:rFonts w:ascii="Arial" w:hAnsi="Arial" w:cs="Arial"/>
          <w:color w:val="000000" w:themeColor="text1"/>
          <w:sz w:val="23"/>
          <w:szCs w:val="23"/>
        </w:rPr>
        <w:t>“</w:t>
      </w:r>
      <w:r w:rsidR="003E14C8" w:rsidRPr="003E14C8">
        <w:rPr>
          <w:rFonts w:ascii="Arial" w:hAnsi="Arial" w:cs="Arial"/>
          <w:color w:val="000000" w:themeColor="text1"/>
          <w:sz w:val="23"/>
          <w:szCs w:val="23"/>
        </w:rPr>
        <w:t xml:space="preserve">implemented and </w:t>
      </w:r>
      <w:r w:rsidR="00996302">
        <w:rPr>
          <w:rFonts w:ascii="Arial" w:hAnsi="Arial" w:cs="Arial"/>
          <w:color w:val="000000" w:themeColor="text1"/>
          <w:sz w:val="23"/>
          <w:szCs w:val="23"/>
        </w:rPr>
        <w:t xml:space="preserve">is </w:t>
      </w:r>
      <w:r w:rsidR="003E14C8" w:rsidRPr="003E14C8">
        <w:rPr>
          <w:rFonts w:ascii="Arial" w:hAnsi="Arial" w:cs="Arial"/>
          <w:color w:val="000000" w:themeColor="text1"/>
          <w:sz w:val="23"/>
          <w:szCs w:val="23"/>
        </w:rPr>
        <w:t>maintaining a system that complies with the Decree</w:t>
      </w:r>
      <w:r w:rsidR="006F0E13" w:rsidRPr="003E14C8">
        <w:rPr>
          <w:rFonts w:ascii="Arial" w:hAnsi="Arial" w:cs="Arial"/>
          <w:color w:val="000000" w:themeColor="text1"/>
          <w:sz w:val="23"/>
          <w:szCs w:val="23"/>
        </w:rPr>
        <w:t>.</w:t>
      </w:r>
      <w:r w:rsidR="00996302">
        <w:rPr>
          <w:rFonts w:ascii="Arial" w:hAnsi="Arial" w:cs="Arial"/>
          <w:color w:val="000000" w:themeColor="text1"/>
          <w:sz w:val="23"/>
          <w:szCs w:val="23"/>
        </w:rPr>
        <w:t>”</w:t>
      </w:r>
      <w:r w:rsidR="006F0E13" w:rsidRPr="00964BDD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964BDD" w:rsidRDefault="00964BDD" w:rsidP="006F0E13">
      <w:pPr>
        <w:pStyle w:val="BodyFactsheet"/>
        <w:spacing w:after="0"/>
        <w:rPr>
          <w:rFonts w:ascii="Arial Black" w:hAnsi="Arial Black"/>
          <w:b/>
          <w:sz w:val="24"/>
          <w:szCs w:val="24"/>
        </w:rPr>
      </w:pPr>
    </w:p>
    <w:p w:rsidR="006F0E13" w:rsidRPr="006F0E13" w:rsidRDefault="006F0E13" w:rsidP="006F0E13">
      <w:pPr>
        <w:pStyle w:val="BodyFactsheet"/>
        <w:spacing w:after="0"/>
        <w:rPr>
          <w:rFonts w:ascii="Arial Black" w:hAnsi="Arial Black"/>
          <w:b/>
          <w:sz w:val="24"/>
          <w:szCs w:val="24"/>
        </w:rPr>
      </w:pPr>
      <w:r w:rsidRPr="006F0E13">
        <w:rPr>
          <w:rFonts w:ascii="Arial Black" w:hAnsi="Arial Black"/>
          <w:b/>
          <w:sz w:val="24"/>
          <w:szCs w:val="24"/>
        </w:rPr>
        <w:t>Can people still join the Class?</w:t>
      </w:r>
    </w:p>
    <w:p w:rsidR="00100F8C" w:rsidRPr="00964BDD" w:rsidRDefault="006F0E13" w:rsidP="006F0E13">
      <w:pPr>
        <w:pStyle w:val="BodyFactsheet"/>
        <w:spacing w:after="0"/>
        <w:rPr>
          <w:sz w:val="23"/>
          <w:szCs w:val="23"/>
        </w:rPr>
      </w:pPr>
      <w:r w:rsidRPr="006F0E13">
        <w:rPr>
          <w:rFonts w:ascii="Arial Black" w:hAnsi="Arial Black"/>
          <w:b/>
          <w:sz w:val="24"/>
          <w:szCs w:val="24"/>
        </w:rPr>
        <w:t xml:space="preserve">Yes. </w:t>
      </w:r>
      <w:r w:rsidR="00100F8C" w:rsidRPr="00964BDD">
        <w:rPr>
          <w:sz w:val="23"/>
          <w:szCs w:val="23"/>
        </w:rPr>
        <w:t>People with developmental disabili</w:t>
      </w:r>
      <w:r w:rsidR="0031243E" w:rsidRPr="00964BDD">
        <w:rPr>
          <w:sz w:val="23"/>
          <w:szCs w:val="23"/>
        </w:rPr>
        <w:t xml:space="preserve">ties who want to receive services under the Consent Decree </w:t>
      </w:r>
      <w:r w:rsidR="00A16F80" w:rsidRPr="00964BDD">
        <w:rPr>
          <w:sz w:val="23"/>
          <w:szCs w:val="23"/>
        </w:rPr>
        <w:t xml:space="preserve">should </w:t>
      </w:r>
      <w:r w:rsidR="00100F8C" w:rsidRPr="00964BDD">
        <w:rPr>
          <w:sz w:val="23"/>
          <w:szCs w:val="23"/>
        </w:rPr>
        <w:t xml:space="preserve">make a record with the State confirming their desire for community services. To join the class, </w:t>
      </w:r>
      <w:r w:rsidR="007E2277">
        <w:rPr>
          <w:sz w:val="23"/>
          <w:szCs w:val="23"/>
        </w:rPr>
        <w:t xml:space="preserve">people should </w:t>
      </w:r>
      <w:r w:rsidR="00100F8C" w:rsidRPr="00964BDD">
        <w:rPr>
          <w:sz w:val="23"/>
          <w:szCs w:val="23"/>
        </w:rPr>
        <w:t xml:space="preserve">contact </w:t>
      </w:r>
      <w:r w:rsidR="007E2277">
        <w:rPr>
          <w:sz w:val="23"/>
          <w:szCs w:val="23"/>
        </w:rPr>
        <w:t>their</w:t>
      </w:r>
      <w:r w:rsidR="00A16F80" w:rsidRPr="00964BDD">
        <w:rPr>
          <w:sz w:val="23"/>
          <w:szCs w:val="23"/>
        </w:rPr>
        <w:t xml:space="preserve"> </w:t>
      </w:r>
      <w:r w:rsidR="007E2277">
        <w:rPr>
          <w:sz w:val="23"/>
          <w:szCs w:val="23"/>
        </w:rPr>
        <w:t>ISC</w:t>
      </w:r>
      <w:r w:rsidR="00A16F80" w:rsidRPr="00964BDD">
        <w:rPr>
          <w:sz w:val="23"/>
          <w:szCs w:val="23"/>
        </w:rPr>
        <w:t xml:space="preserve"> agency or </w:t>
      </w:r>
      <w:r w:rsidR="00112015">
        <w:rPr>
          <w:sz w:val="23"/>
          <w:szCs w:val="23"/>
        </w:rPr>
        <w:t>Mike Vespa</w:t>
      </w:r>
      <w:r w:rsidR="00100F8C" w:rsidRPr="00964BDD">
        <w:rPr>
          <w:sz w:val="23"/>
          <w:szCs w:val="23"/>
        </w:rPr>
        <w:t xml:space="preserve"> at </w:t>
      </w:r>
      <w:hyperlink r:id="rId9" w:history="1">
        <w:r w:rsidR="00552F1A" w:rsidRPr="00BC4E15">
          <w:rPr>
            <w:rStyle w:val="Hyperlink"/>
            <w:sz w:val="23"/>
            <w:szCs w:val="23"/>
          </w:rPr>
          <w:t>Mike.Vespa@Illinois.gov</w:t>
        </w:r>
      </w:hyperlink>
      <w:r w:rsidR="00552F1A">
        <w:rPr>
          <w:sz w:val="23"/>
          <w:szCs w:val="23"/>
        </w:rPr>
        <w:t xml:space="preserve"> or 217-785-6171</w:t>
      </w:r>
      <w:r w:rsidR="00100F8C" w:rsidRPr="00964BDD">
        <w:rPr>
          <w:sz w:val="23"/>
          <w:szCs w:val="23"/>
        </w:rPr>
        <w:t>.</w:t>
      </w:r>
      <w:r w:rsidR="002D73B1" w:rsidRPr="00964BDD">
        <w:rPr>
          <w:sz w:val="23"/>
          <w:szCs w:val="23"/>
        </w:rPr>
        <w:t xml:space="preserve"> </w:t>
      </w:r>
      <w:r w:rsidRPr="00964BDD">
        <w:rPr>
          <w:sz w:val="23"/>
          <w:szCs w:val="23"/>
        </w:rPr>
        <w:t xml:space="preserve">People who </w:t>
      </w:r>
      <w:r w:rsidR="002E1E92">
        <w:rPr>
          <w:sz w:val="23"/>
          <w:szCs w:val="23"/>
        </w:rPr>
        <w:t xml:space="preserve">are 18 and older and </w:t>
      </w:r>
      <w:r w:rsidRPr="00964BDD">
        <w:rPr>
          <w:sz w:val="23"/>
          <w:szCs w:val="23"/>
        </w:rPr>
        <w:t>are on the PUNS</w:t>
      </w:r>
      <w:r w:rsidR="00BB6A6D">
        <w:rPr>
          <w:sz w:val="23"/>
          <w:szCs w:val="23"/>
        </w:rPr>
        <w:t xml:space="preserve"> list are already Class Members</w:t>
      </w:r>
      <w:r w:rsidR="002E1E92">
        <w:rPr>
          <w:sz w:val="23"/>
          <w:szCs w:val="23"/>
        </w:rPr>
        <w:t>, but need to be clear whether</w:t>
      </w:r>
      <w:r w:rsidR="00BB6A6D">
        <w:rPr>
          <w:sz w:val="23"/>
          <w:szCs w:val="23"/>
        </w:rPr>
        <w:t xml:space="preserve"> they are actively seeking services or just in planning.</w:t>
      </w:r>
      <w:r w:rsidR="002E1E92">
        <w:rPr>
          <w:sz w:val="23"/>
          <w:szCs w:val="23"/>
        </w:rPr>
        <w:t xml:space="preserve"> </w:t>
      </w:r>
      <w:r w:rsidR="002E1E92" w:rsidRPr="002E1E92">
        <w:rPr>
          <w:b/>
          <w:sz w:val="23"/>
          <w:szCs w:val="23"/>
        </w:rPr>
        <w:t>The time for selection off the PUNS list does</w:t>
      </w:r>
      <w:r w:rsidR="002E1E92">
        <w:rPr>
          <w:b/>
          <w:sz w:val="23"/>
          <w:szCs w:val="23"/>
        </w:rPr>
        <w:t xml:space="preserve"> not</w:t>
      </w:r>
      <w:r w:rsidR="002E1E92" w:rsidRPr="002E1E92">
        <w:rPr>
          <w:b/>
          <w:sz w:val="23"/>
          <w:szCs w:val="23"/>
        </w:rPr>
        <w:t xml:space="preserve"> begin until a designation has been made of actively seeking services.</w:t>
      </w:r>
    </w:p>
    <w:p w:rsidR="006F0E13" w:rsidRPr="00964BDD" w:rsidRDefault="006F0E13">
      <w:pPr>
        <w:pStyle w:val="Factsubhead"/>
        <w:spacing w:before="0"/>
        <w:rPr>
          <w:color w:val="auto"/>
          <w:sz w:val="23"/>
          <w:szCs w:val="23"/>
        </w:rPr>
      </w:pPr>
    </w:p>
    <w:p w:rsidR="00BE635C" w:rsidRPr="006F0E13" w:rsidRDefault="003E62F5">
      <w:pPr>
        <w:pStyle w:val="Factsubhead"/>
        <w:spacing w:before="0"/>
        <w:rPr>
          <w:color w:val="auto"/>
          <w:szCs w:val="24"/>
        </w:rPr>
      </w:pPr>
      <w:r w:rsidRPr="006F0E13">
        <w:rPr>
          <w:color w:val="auto"/>
          <w:szCs w:val="24"/>
        </w:rPr>
        <w:t xml:space="preserve">Questions? </w:t>
      </w:r>
    </w:p>
    <w:p w:rsidR="00BE635C" w:rsidRPr="00964BDD" w:rsidRDefault="003E62F5">
      <w:pPr>
        <w:pStyle w:val="Factsubhead"/>
        <w:spacing w:before="0"/>
        <w:rPr>
          <w:sz w:val="23"/>
          <w:szCs w:val="23"/>
        </w:rPr>
      </w:pPr>
      <w:r w:rsidRPr="00964BDD">
        <w:rPr>
          <w:rFonts w:ascii="Arial" w:hAnsi="Arial"/>
          <w:color w:val="auto"/>
          <w:sz w:val="23"/>
          <w:szCs w:val="23"/>
        </w:rPr>
        <w:t>If you have questions about the Consent Decree</w:t>
      </w:r>
      <w:r w:rsidR="00D41C9F" w:rsidRPr="00964BDD">
        <w:rPr>
          <w:rFonts w:ascii="Arial" w:hAnsi="Arial"/>
          <w:color w:val="auto"/>
          <w:sz w:val="23"/>
          <w:szCs w:val="23"/>
        </w:rPr>
        <w:t>, services under the Decree,</w:t>
      </w:r>
      <w:r w:rsidRPr="00964BDD">
        <w:rPr>
          <w:rFonts w:ascii="Arial" w:hAnsi="Arial"/>
          <w:color w:val="auto"/>
          <w:sz w:val="23"/>
          <w:szCs w:val="23"/>
        </w:rPr>
        <w:t xml:space="preserve"> or </w:t>
      </w:r>
      <w:r w:rsidR="002E1E92">
        <w:rPr>
          <w:rFonts w:ascii="Arial" w:hAnsi="Arial"/>
          <w:color w:val="auto"/>
          <w:sz w:val="23"/>
          <w:szCs w:val="23"/>
        </w:rPr>
        <w:t xml:space="preserve">any other </w:t>
      </w:r>
      <w:r w:rsidR="002E1E92" w:rsidRPr="002E1E92">
        <w:rPr>
          <w:rFonts w:ascii="Arial" w:hAnsi="Arial"/>
          <w:i/>
          <w:color w:val="auto"/>
          <w:sz w:val="23"/>
          <w:szCs w:val="23"/>
        </w:rPr>
        <w:t>Ligas</w:t>
      </w:r>
      <w:r w:rsidR="002E1E92">
        <w:rPr>
          <w:rFonts w:ascii="Arial" w:hAnsi="Arial"/>
          <w:color w:val="auto"/>
          <w:sz w:val="23"/>
          <w:szCs w:val="23"/>
        </w:rPr>
        <w:t xml:space="preserve"> issue</w:t>
      </w:r>
      <w:r w:rsidRPr="00964BDD">
        <w:rPr>
          <w:rFonts w:ascii="Arial" w:hAnsi="Arial"/>
          <w:color w:val="auto"/>
          <w:sz w:val="23"/>
          <w:szCs w:val="23"/>
        </w:rPr>
        <w:t xml:space="preserve">, please contact </w:t>
      </w:r>
      <w:r w:rsidR="0062010E" w:rsidRPr="00964BDD">
        <w:rPr>
          <w:rFonts w:ascii="Arial" w:hAnsi="Arial"/>
          <w:color w:val="auto"/>
          <w:sz w:val="23"/>
          <w:szCs w:val="23"/>
        </w:rPr>
        <w:t>Laura Miller at 312-895-7316</w:t>
      </w:r>
      <w:r w:rsidRPr="00964BDD">
        <w:rPr>
          <w:rFonts w:ascii="Arial" w:hAnsi="Arial"/>
          <w:color w:val="auto"/>
          <w:sz w:val="23"/>
          <w:szCs w:val="23"/>
        </w:rPr>
        <w:t xml:space="preserve"> or </w:t>
      </w:r>
      <w:hyperlink r:id="rId10" w:history="1">
        <w:r w:rsidR="0062010E" w:rsidRPr="00964BDD">
          <w:rPr>
            <w:rStyle w:val="Hyperlink"/>
            <w:rFonts w:ascii="Arial" w:hAnsi="Arial"/>
            <w:sz w:val="23"/>
            <w:szCs w:val="23"/>
          </w:rPr>
          <w:t>laura@equipforequality.org</w:t>
        </w:r>
      </w:hyperlink>
    </w:p>
    <w:p w:rsidR="0000405D" w:rsidRPr="0000405D" w:rsidRDefault="00100F8C" w:rsidP="00BA13B7">
      <w:pPr>
        <w:pStyle w:val="Factsubhead"/>
        <w:rPr>
          <w:color w:val="0000FF"/>
          <w:u w:val="single"/>
        </w:rPr>
      </w:pPr>
      <w:r w:rsidRPr="00CC492F">
        <w:rPr>
          <w:rFonts w:cs="Arial"/>
          <w:color w:val="000000" w:themeColor="text1"/>
          <w:szCs w:val="24"/>
        </w:rPr>
        <w:t>Documents related to the case can be found at:</w:t>
      </w:r>
      <w:r w:rsidRPr="006F0E13">
        <w:rPr>
          <w:rFonts w:cs="Arial"/>
          <w:szCs w:val="24"/>
        </w:rPr>
        <w:t xml:space="preserve"> </w:t>
      </w:r>
      <w:hyperlink r:id="rId11" w:history="1">
        <w:r w:rsidR="00CC492F" w:rsidRPr="00115216">
          <w:rPr>
            <w:rStyle w:val="Hyperlink"/>
          </w:rPr>
          <w:t>www.equipforequality.org/issues/community-integration/documents-from-efes-class-actions/</w:t>
        </w:r>
      </w:hyperlink>
    </w:p>
    <w:sectPr w:rsidR="0000405D" w:rsidRPr="0000405D" w:rsidSect="00BE635C">
      <w:pgSz w:w="12240" w:h="15840"/>
      <w:pgMar w:top="1440" w:right="1260" w:bottom="81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3" w15:restartNumberingAfterBreak="0">
    <w:nsid w:val="00001BE0"/>
    <w:multiLevelType w:val="hybridMultilevel"/>
    <w:tmpl w:val="BE926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952060"/>
    <w:multiLevelType w:val="hybridMultilevel"/>
    <w:tmpl w:val="C040EA82"/>
    <w:lvl w:ilvl="0" w:tplc="C3F88874">
      <w:start w:val="1"/>
      <w:numFmt w:val="bullet"/>
      <w:pStyle w:val="Bulletfactshe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8000"/>
        <w:sz w:val="24"/>
      </w:rPr>
    </w:lvl>
    <w:lvl w:ilvl="1" w:tplc="42F879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F24396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E81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6CF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AC3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0C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58BB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20BA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F7077"/>
    <w:multiLevelType w:val="hybridMultilevel"/>
    <w:tmpl w:val="8FD4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97BD0"/>
    <w:multiLevelType w:val="hybridMultilevel"/>
    <w:tmpl w:val="669282CA"/>
    <w:lvl w:ilvl="0" w:tplc="3A8C9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0FD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589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8B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81E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6A2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DC9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3E60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661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7507A"/>
    <w:multiLevelType w:val="hybridMultilevel"/>
    <w:tmpl w:val="58EEFE5E"/>
    <w:lvl w:ilvl="0" w:tplc="E8769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40A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681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129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9A5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10B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84F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7E6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32C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9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F5"/>
    <w:rsid w:val="0000405D"/>
    <w:rsid w:val="0001607B"/>
    <w:rsid w:val="000D2C5A"/>
    <w:rsid w:val="00100F8C"/>
    <w:rsid w:val="00112015"/>
    <w:rsid w:val="001B4BD2"/>
    <w:rsid w:val="00202D0A"/>
    <w:rsid w:val="002D73B1"/>
    <w:rsid w:val="002E1E92"/>
    <w:rsid w:val="0031243E"/>
    <w:rsid w:val="003329D3"/>
    <w:rsid w:val="003704E5"/>
    <w:rsid w:val="00386305"/>
    <w:rsid w:val="003A17A2"/>
    <w:rsid w:val="003E14C8"/>
    <w:rsid w:val="003E62F5"/>
    <w:rsid w:val="003F738E"/>
    <w:rsid w:val="00457945"/>
    <w:rsid w:val="00481898"/>
    <w:rsid w:val="004E72DD"/>
    <w:rsid w:val="005055D2"/>
    <w:rsid w:val="00543FD8"/>
    <w:rsid w:val="00552F1A"/>
    <w:rsid w:val="0055464A"/>
    <w:rsid w:val="0059526B"/>
    <w:rsid w:val="005A0DB1"/>
    <w:rsid w:val="005D5DBC"/>
    <w:rsid w:val="00616FF7"/>
    <w:rsid w:val="0062010E"/>
    <w:rsid w:val="00681A63"/>
    <w:rsid w:val="00695141"/>
    <w:rsid w:val="006C33CF"/>
    <w:rsid w:val="006F0E13"/>
    <w:rsid w:val="00721289"/>
    <w:rsid w:val="0073552C"/>
    <w:rsid w:val="007C0215"/>
    <w:rsid w:val="007E2277"/>
    <w:rsid w:val="007E286E"/>
    <w:rsid w:val="007E39C5"/>
    <w:rsid w:val="00873D8C"/>
    <w:rsid w:val="00874F95"/>
    <w:rsid w:val="00875265"/>
    <w:rsid w:val="008B02C8"/>
    <w:rsid w:val="00937C60"/>
    <w:rsid w:val="00944251"/>
    <w:rsid w:val="00964BDD"/>
    <w:rsid w:val="00996302"/>
    <w:rsid w:val="00A16F80"/>
    <w:rsid w:val="00A466D9"/>
    <w:rsid w:val="00A7379D"/>
    <w:rsid w:val="00B35723"/>
    <w:rsid w:val="00BA13B7"/>
    <w:rsid w:val="00BB6A6D"/>
    <w:rsid w:val="00BE635C"/>
    <w:rsid w:val="00BE777D"/>
    <w:rsid w:val="00C3765B"/>
    <w:rsid w:val="00C72E74"/>
    <w:rsid w:val="00CC492F"/>
    <w:rsid w:val="00CD54AF"/>
    <w:rsid w:val="00CE1A39"/>
    <w:rsid w:val="00D31650"/>
    <w:rsid w:val="00D41C9F"/>
    <w:rsid w:val="00D74FE4"/>
    <w:rsid w:val="00DD4F92"/>
    <w:rsid w:val="00E43174"/>
    <w:rsid w:val="00E5011C"/>
    <w:rsid w:val="00E63B4D"/>
    <w:rsid w:val="00EC0E36"/>
    <w:rsid w:val="00F513D8"/>
    <w:rsid w:val="00F95639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74896"/>
  <w15:docId w15:val="{D6962206-B855-457E-AF8B-8688E23F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35C"/>
    <w:rPr>
      <w:sz w:val="24"/>
    </w:rPr>
  </w:style>
  <w:style w:type="paragraph" w:styleId="Heading1">
    <w:name w:val="heading 1"/>
    <w:basedOn w:val="Normal"/>
    <w:next w:val="Normal"/>
    <w:qFormat/>
    <w:rsid w:val="00BE635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E635C"/>
    <w:pPr>
      <w:keepNext/>
      <w:ind w:right="-180" w:hanging="180"/>
      <w:jc w:val="center"/>
      <w:outlineLvl w:val="1"/>
    </w:pPr>
    <w:rPr>
      <w:b/>
      <w:i/>
      <w:kern w:val="28"/>
      <w:sz w:val="28"/>
    </w:rPr>
  </w:style>
  <w:style w:type="paragraph" w:styleId="Heading3">
    <w:name w:val="heading 3"/>
    <w:basedOn w:val="Normal"/>
    <w:next w:val="BodyText"/>
    <w:qFormat/>
    <w:rsid w:val="00BE635C"/>
    <w:pPr>
      <w:keepNext/>
      <w:widowControl w:val="0"/>
      <w:numPr>
        <w:ilvl w:val="2"/>
        <w:numId w:val="1"/>
      </w:numPr>
      <w:suppressAutoHyphens/>
      <w:spacing w:before="240" w:after="283"/>
      <w:ind w:right="86"/>
      <w:outlineLvl w:val="2"/>
    </w:pPr>
    <w:rPr>
      <w:rFonts w:ascii="Albany" w:eastAsia="HG Mincho Light J" w:hAnsi="Albany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BE635C"/>
    <w:rPr>
      <w:i/>
    </w:rPr>
  </w:style>
  <w:style w:type="paragraph" w:styleId="NormalWeb">
    <w:name w:val="Normal (Web)"/>
    <w:basedOn w:val="Normal"/>
    <w:semiHidden/>
    <w:rsid w:val="00BE635C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BE635C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BE635C"/>
    <w:rPr>
      <w:color w:val="0000FF"/>
      <w:u w:val="single"/>
    </w:rPr>
  </w:style>
  <w:style w:type="paragraph" w:styleId="BodyText">
    <w:name w:val="Body Text"/>
    <w:basedOn w:val="Normal"/>
    <w:semiHidden/>
    <w:rsid w:val="00BE635C"/>
    <w:pPr>
      <w:jc w:val="center"/>
    </w:pPr>
    <w:rPr>
      <w:b/>
    </w:rPr>
  </w:style>
  <w:style w:type="paragraph" w:styleId="BodyText2">
    <w:name w:val="Body Text 2"/>
    <w:basedOn w:val="Normal"/>
    <w:semiHidden/>
    <w:rsid w:val="00BE635C"/>
    <w:rPr>
      <w:i/>
    </w:rPr>
  </w:style>
  <w:style w:type="paragraph" w:styleId="Footer">
    <w:name w:val="footer"/>
    <w:basedOn w:val="Normal"/>
    <w:semiHidden/>
    <w:rsid w:val="00BE635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E635C"/>
    <w:pPr>
      <w:spacing w:before="480" w:after="360"/>
      <w:outlineLvl w:val="0"/>
    </w:pPr>
    <w:rPr>
      <w:rFonts w:ascii="Arial Black" w:hAnsi="Arial Black"/>
      <w:color w:val="008000"/>
      <w:kern w:val="28"/>
      <w:sz w:val="36"/>
    </w:rPr>
  </w:style>
  <w:style w:type="paragraph" w:customStyle="1" w:styleId="Program">
    <w:name w:val="Program"/>
    <w:basedOn w:val="Title"/>
    <w:rsid w:val="00BE635C"/>
    <w:pPr>
      <w:spacing w:before="0"/>
    </w:pPr>
    <w:rPr>
      <w:rFonts w:ascii="Arial" w:hAnsi="Arial"/>
      <w:i/>
      <w:sz w:val="22"/>
    </w:rPr>
  </w:style>
  <w:style w:type="paragraph" w:customStyle="1" w:styleId="FactSheet">
    <w:name w:val="FactSheet"/>
    <w:basedOn w:val="NormalWeb"/>
    <w:rsid w:val="00BE635C"/>
    <w:pPr>
      <w:spacing w:before="0" w:beforeAutospacing="0" w:after="0" w:afterAutospacing="0"/>
    </w:pPr>
    <w:rPr>
      <w:rFonts w:ascii="AvantGarde" w:hAnsi="AvantGarde"/>
      <w:b/>
      <w:color w:val="FFFFFF"/>
      <w:spacing w:val="20"/>
      <w:position w:val="-6"/>
      <w:sz w:val="36"/>
    </w:rPr>
  </w:style>
  <w:style w:type="paragraph" w:customStyle="1" w:styleId="BodyFactsheet">
    <w:name w:val="Body Factsheet"/>
    <w:basedOn w:val="Normal"/>
    <w:rsid w:val="00BE635C"/>
    <w:pPr>
      <w:spacing w:after="120"/>
    </w:pPr>
    <w:rPr>
      <w:rFonts w:ascii="Arial" w:hAnsi="Arial"/>
      <w:sz w:val="22"/>
    </w:rPr>
  </w:style>
  <w:style w:type="paragraph" w:customStyle="1" w:styleId="Factsubhead">
    <w:name w:val="Factsubhead"/>
    <w:basedOn w:val="Normal"/>
    <w:rsid w:val="00BE635C"/>
    <w:pPr>
      <w:spacing w:before="240"/>
    </w:pPr>
    <w:rPr>
      <w:rFonts w:ascii="Arial Black" w:hAnsi="Arial Black"/>
      <w:color w:val="008000"/>
    </w:rPr>
  </w:style>
  <w:style w:type="paragraph" w:customStyle="1" w:styleId="Bulletfactsheet">
    <w:name w:val="Bullet factsheet"/>
    <w:basedOn w:val="Normal"/>
    <w:rsid w:val="00BE635C"/>
    <w:pPr>
      <w:numPr>
        <w:numId w:val="1"/>
      </w:numPr>
      <w:tabs>
        <w:tab w:val="clear" w:pos="1080"/>
        <w:tab w:val="num" w:pos="720"/>
      </w:tabs>
      <w:spacing w:after="80"/>
      <w:ind w:left="720"/>
    </w:pPr>
    <w:rPr>
      <w:rFonts w:ascii="Arial" w:hAnsi="Arial"/>
      <w:sz w:val="22"/>
    </w:rPr>
  </w:style>
  <w:style w:type="paragraph" w:styleId="NoSpacing">
    <w:name w:val="No Spacing"/>
    <w:uiPriority w:val="1"/>
    <w:qFormat/>
    <w:rsid w:val="003F738E"/>
    <w:rPr>
      <w:rFonts w:eastAsia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2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9D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9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9D3"/>
    <w:rPr>
      <w:b/>
      <w:bCs/>
    </w:rPr>
  </w:style>
  <w:style w:type="paragraph" w:styleId="Revision">
    <w:name w:val="Revision"/>
    <w:hidden/>
    <w:uiPriority w:val="99"/>
    <w:semiHidden/>
    <w:rsid w:val="003329D3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4B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as.monito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equipforequality.org/issues/community-integration/documents-from-efes-class-actions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laura@equipforequalit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ke.Vespa@Illinoi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1003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6467</CharactersWithSpaces>
  <SharedDoc>false</SharedDoc>
  <HLinks>
    <vt:vector size="12" baseType="variant">
      <vt:variant>
        <vt:i4>5177462</vt:i4>
      </vt:variant>
      <vt:variant>
        <vt:i4>6</vt:i4>
      </vt:variant>
      <vt:variant>
        <vt:i4>0</vt:i4>
      </vt:variant>
      <vt:variant>
        <vt:i4>5</vt:i4>
      </vt:variant>
      <vt:variant>
        <vt:lpwstr>mailto:barryt@equipforequality.org</vt:lpwstr>
      </vt:variant>
      <vt:variant>
        <vt:lpwstr/>
      </vt:variant>
      <vt:variant>
        <vt:i4>6226004</vt:i4>
      </vt:variant>
      <vt:variant>
        <vt:i4>3</vt:i4>
      </vt:variant>
      <vt:variant>
        <vt:i4>0</vt:i4>
      </vt:variant>
      <vt:variant>
        <vt:i4>5</vt:i4>
      </vt:variant>
      <vt:variant>
        <vt:lpwstr>http://www.equipforequality.org/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Wilhelm &amp; Conlon</dc:creator>
  <cp:lastModifiedBy>Barry Taylor</cp:lastModifiedBy>
  <cp:revision>2</cp:revision>
  <cp:lastPrinted>2013-02-05T20:02:00Z</cp:lastPrinted>
  <dcterms:created xsi:type="dcterms:W3CDTF">2022-02-09T16:17:00Z</dcterms:created>
  <dcterms:modified xsi:type="dcterms:W3CDTF">2022-02-09T16:17:00Z</dcterms:modified>
</cp:coreProperties>
</file>