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5C" w:rsidRDefault="00227387">
      <w:pPr>
        <w:pStyle w:val="NormalWeb"/>
        <w:spacing w:before="0" w:beforeAutospacing="0" w:after="0" w:afterAutospacing="0"/>
        <w:jc w:val="center"/>
      </w:pPr>
      <w:r>
        <w:rPr>
          <w:noProof/>
        </w:rPr>
        <w:drawing>
          <wp:anchor distT="0" distB="0" distL="114300" distR="114300" simplePos="0" relativeHeight="251658240" behindDoc="0" locked="0" layoutInCell="1" allowOverlap="1">
            <wp:simplePos x="0" y="0"/>
            <wp:positionH relativeFrom="column">
              <wp:posOffset>2420620</wp:posOffset>
            </wp:positionH>
            <wp:positionV relativeFrom="paragraph">
              <wp:posOffset>-144145</wp:posOffset>
            </wp:positionV>
            <wp:extent cx="865505" cy="93154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865505" cy="931545"/>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485775</wp:posOffset>
            </wp:positionH>
            <wp:positionV relativeFrom="paragraph">
              <wp:posOffset>10160</wp:posOffset>
            </wp:positionV>
            <wp:extent cx="1381125" cy="65468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381125" cy="654685"/>
                    </a:xfrm>
                    <a:prstGeom prst="rect">
                      <a:avLst/>
                    </a:prstGeom>
                    <a:noFill/>
                  </pic:spPr>
                </pic:pic>
              </a:graphicData>
            </a:graphic>
          </wp:anchor>
        </w:drawing>
      </w:r>
    </w:p>
    <w:p w:rsidR="00BE635C" w:rsidRDefault="00227387">
      <w:pPr>
        <w:jc w:val="center"/>
      </w:pPr>
      <w:r>
        <w:rPr>
          <w:noProof/>
        </w:rPr>
        <w:drawing>
          <wp:inline distT="0" distB="0" distL="0" distR="0">
            <wp:extent cx="1647825" cy="419100"/>
            <wp:effectExtent l="19050" t="0" r="9525" b="0"/>
            <wp:docPr id="3" name="Picture 3" descr="Den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ntons"/>
                    <pic:cNvPicPr>
                      <a:picLocks noChangeAspect="1" noChangeArrowheads="1"/>
                    </pic:cNvPicPr>
                  </pic:nvPicPr>
                  <pic:blipFill>
                    <a:blip r:embed="rId7" cstate="print"/>
                    <a:srcRect/>
                    <a:stretch>
                      <a:fillRect/>
                    </a:stretch>
                  </pic:blipFill>
                  <pic:spPr bwMode="auto">
                    <a:xfrm>
                      <a:off x="0" y="0"/>
                      <a:ext cx="1647825" cy="419100"/>
                    </a:xfrm>
                    <a:prstGeom prst="rect">
                      <a:avLst/>
                    </a:prstGeom>
                    <a:noFill/>
                    <a:ln w="9525">
                      <a:noFill/>
                      <a:miter lim="800000"/>
                      <a:headEnd/>
                      <a:tailEnd/>
                    </a:ln>
                  </pic:spPr>
                </pic:pic>
              </a:graphicData>
            </a:graphic>
          </wp:inline>
        </w:drawing>
      </w:r>
      <w:r w:rsidR="003E62F5">
        <w:t xml:space="preserve">    </w:t>
      </w:r>
    </w:p>
    <w:p w:rsidR="00AC37D7" w:rsidRDefault="00AC37D7">
      <w:pPr>
        <w:jc w:val="center"/>
      </w:pPr>
    </w:p>
    <w:p w:rsidR="00AC37D7" w:rsidRDefault="00AC37D7">
      <w:pPr>
        <w:jc w:val="center"/>
      </w:pPr>
    </w:p>
    <w:p w:rsidR="00AC37D7" w:rsidRPr="00C1287F" w:rsidRDefault="00AC37D7" w:rsidP="00AC37D7">
      <w:pPr>
        <w:pStyle w:val="NoSpacing"/>
        <w:jc w:val="center"/>
        <w:rPr>
          <w:rFonts w:ascii="Arial Black" w:hAnsi="Arial Black" w:cs="Arial"/>
          <w:b/>
          <w:u w:val="single"/>
        </w:rPr>
      </w:pPr>
      <w:r w:rsidRPr="00C1287F">
        <w:rPr>
          <w:rFonts w:ascii="Arial Black" w:hAnsi="Arial Black" w:cs="Arial"/>
          <w:b/>
          <w:u w:val="single"/>
        </w:rPr>
        <w:t xml:space="preserve">COLBERT v. </w:t>
      </w:r>
      <w:r w:rsidR="00E6234E">
        <w:rPr>
          <w:rFonts w:ascii="Arial Black" w:hAnsi="Arial Black" w:cs="Arial"/>
          <w:b/>
          <w:u w:val="single"/>
        </w:rPr>
        <w:t>PRITZKER</w:t>
      </w:r>
      <w:r w:rsidRPr="00C1287F">
        <w:rPr>
          <w:rFonts w:ascii="Arial Black" w:hAnsi="Arial Black" w:cs="Arial"/>
          <w:b/>
          <w:u w:val="single"/>
        </w:rPr>
        <w:t xml:space="preserve"> FACT SHEET</w:t>
      </w:r>
    </w:p>
    <w:p w:rsidR="00AC37D7" w:rsidRDefault="00AC37D7" w:rsidP="00AC37D7">
      <w:pPr>
        <w:pStyle w:val="NoSpacing"/>
        <w:tabs>
          <w:tab w:val="left" w:pos="5968"/>
        </w:tabs>
        <w:rPr>
          <w:rFonts w:ascii="Arial" w:hAnsi="Arial" w:cs="Arial"/>
          <w:b/>
          <w:sz w:val="22"/>
          <w:szCs w:val="22"/>
        </w:rPr>
      </w:pPr>
    </w:p>
    <w:p w:rsidR="00AC37D7" w:rsidRPr="00AC37D7" w:rsidRDefault="00AC37D7" w:rsidP="00AC37D7">
      <w:pPr>
        <w:pStyle w:val="NoSpacing"/>
        <w:tabs>
          <w:tab w:val="left" w:pos="5968"/>
        </w:tabs>
        <w:rPr>
          <w:rFonts w:ascii="Arial Black" w:hAnsi="Arial Black" w:cs="Arial"/>
          <w:b/>
        </w:rPr>
      </w:pPr>
      <w:r w:rsidRPr="00AC37D7">
        <w:rPr>
          <w:rFonts w:ascii="Arial Black" w:hAnsi="Arial Black" w:cs="Arial"/>
          <w:b/>
        </w:rPr>
        <w:t>Background on the Lawsuit</w:t>
      </w:r>
      <w:r w:rsidRPr="00AC37D7">
        <w:rPr>
          <w:rFonts w:ascii="Arial Black" w:hAnsi="Arial Black" w:cs="Arial"/>
          <w:b/>
        </w:rPr>
        <w:tab/>
      </w:r>
    </w:p>
    <w:p w:rsidR="00AC37D7" w:rsidRPr="00A85D60" w:rsidRDefault="00AC37D7" w:rsidP="00AC37D7">
      <w:pPr>
        <w:pStyle w:val="NoSpacing"/>
        <w:rPr>
          <w:rFonts w:ascii="Arial" w:hAnsi="Arial" w:cs="Arial"/>
          <w:sz w:val="22"/>
          <w:szCs w:val="22"/>
        </w:rPr>
      </w:pPr>
      <w:r w:rsidRPr="00A85D60">
        <w:rPr>
          <w:rFonts w:ascii="Arial" w:hAnsi="Arial" w:cs="Arial"/>
          <w:sz w:val="22"/>
          <w:szCs w:val="22"/>
        </w:rPr>
        <w:t xml:space="preserve">In </w:t>
      </w:r>
      <w:r w:rsidRPr="00A85D60">
        <w:rPr>
          <w:rFonts w:ascii="Arial" w:hAnsi="Arial" w:cs="Arial"/>
          <w:i/>
          <w:iCs/>
          <w:sz w:val="22"/>
          <w:szCs w:val="22"/>
        </w:rPr>
        <w:t xml:space="preserve">Olmstead v. L.C. </w:t>
      </w:r>
      <w:r w:rsidRPr="00A85D60">
        <w:rPr>
          <w:rFonts w:ascii="Arial" w:hAnsi="Arial" w:cs="Arial"/>
          <w:sz w:val="22"/>
          <w:szCs w:val="22"/>
        </w:rPr>
        <w:t>(1999), the Supreme Court held that unnecessary institutionalization of people with disabilities is discrimination under the Americans with Disabilities Act (ADA).  People with disabilities are entitled to receive services in the most integrated setting appropriate to their needs.</w:t>
      </w:r>
    </w:p>
    <w:p w:rsidR="00AC37D7" w:rsidRPr="00EA35F2" w:rsidRDefault="00AC37D7" w:rsidP="00AC37D7">
      <w:pPr>
        <w:pStyle w:val="NoSpacing"/>
      </w:pPr>
    </w:p>
    <w:p w:rsidR="00AC37D7" w:rsidRPr="005D54C5" w:rsidRDefault="00AC37D7" w:rsidP="00AC37D7">
      <w:pPr>
        <w:pStyle w:val="BodyFactsheet"/>
        <w:rPr>
          <w:szCs w:val="22"/>
        </w:rPr>
      </w:pPr>
      <w:r w:rsidRPr="00EA35F2">
        <w:rPr>
          <w:rFonts w:cs="Arial"/>
          <w:i/>
          <w:szCs w:val="22"/>
        </w:rPr>
        <w:t xml:space="preserve">Colbert v. </w:t>
      </w:r>
      <w:proofErr w:type="spellStart"/>
      <w:r w:rsidR="00E6234E">
        <w:rPr>
          <w:rFonts w:cs="Arial"/>
          <w:i/>
          <w:szCs w:val="22"/>
        </w:rPr>
        <w:t>Pritzker</w:t>
      </w:r>
      <w:proofErr w:type="spellEnd"/>
      <w:r w:rsidR="00E6234E">
        <w:rPr>
          <w:rFonts w:cs="Arial"/>
          <w:szCs w:val="22"/>
        </w:rPr>
        <w:t xml:space="preserve"> (originally </w:t>
      </w:r>
      <w:r w:rsidR="00E6234E">
        <w:rPr>
          <w:rFonts w:cs="Arial"/>
          <w:i/>
          <w:szCs w:val="22"/>
        </w:rPr>
        <w:t>Colbert v. Blagojevich)</w:t>
      </w:r>
      <w:r w:rsidRPr="00EA35F2">
        <w:rPr>
          <w:rFonts w:cs="Arial"/>
          <w:szCs w:val="22"/>
        </w:rPr>
        <w:t xml:space="preserve"> is an ADA lawsuit filed </w:t>
      </w:r>
      <w:r>
        <w:rPr>
          <w:rFonts w:cs="Arial"/>
          <w:szCs w:val="22"/>
        </w:rPr>
        <w:t xml:space="preserve">in </w:t>
      </w:r>
      <w:r w:rsidRPr="00EA35F2">
        <w:rPr>
          <w:rFonts w:cs="Arial"/>
          <w:szCs w:val="22"/>
        </w:rPr>
        <w:t xml:space="preserve">2007 by people </w:t>
      </w:r>
      <w:r>
        <w:rPr>
          <w:rFonts w:cs="Arial"/>
          <w:szCs w:val="22"/>
        </w:rPr>
        <w:t xml:space="preserve">with </w:t>
      </w:r>
      <w:r w:rsidRPr="00EA35F2">
        <w:rPr>
          <w:rFonts w:cs="Arial"/>
          <w:szCs w:val="22"/>
        </w:rPr>
        <w:t xml:space="preserve">disabilities (plaintiffs) who reside in Cook County nursing facilities and who want to </w:t>
      </w:r>
      <w:r>
        <w:rPr>
          <w:rFonts w:cs="Arial"/>
          <w:szCs w:val="22"/>
        </w:rPr>
        <w:t xml:space="preserve">live in community and </w:t>
      </w:r>
      <w:r w:rsidRPr="00EA35F2">
        <w:rPr>
          <w:rFonts w:cs="Arial"/>
          <w:szCs w:val="22"/>
        </w:rPr>
        <w:t xml:space="preserve">receive community services.  The </w:t>
      </w:r>
      <w:r>
        <w:rPr>
          <w:rFonts w:cs="Arial"/>
          <w:szCs w:val="22"/>
        </w:rPr>
        <w:t>Court</w:t>
      </w:r>
      <w:r w:rsidRPr="00EA35F2">
        <w:rPr>
          <w:rFonts w:cs="Arial"/>
          <w:szCs w:val="22"/>
        </w:rPr>
        <w:t xml:space="preserve"> certified the case as a class action, so the case could move forward </w:t>
      </w:r>
      <w:r>
        <w:rPr>
          <w:rFonts w:cs="Arial"/>
          <w:szCs w:val="22"/>
        </w:rPr>
        <w:t xml:space="preserve">against the state </w:t>
      </w:r>
      <w:r w:rsidRPr="00EA35F2">
        <w:rPr>
          <w:rFonts w:cs="Arial"/>
          <w:szCs w:val="22"/>
        </w:rPr>
        <w:t xml:space="preserve">on behalf of the approximately </w:t>
      </w:r>
      <w:r w:rsidR="00227387">
        <w:rPr>
          <w:rFonts w:cs="Arial"/>
          <w:szCs w:val="22"/>
        </w:rPr>
        <w:t>16</w:t>
      </w:r>
      <w:r w:rsidRPr="00A20DEA">
        <w:rPr>
          <w:rFonts w:cs="Arial"/>
          <w:szCs w:val="22"/>
        </w:rPr>
        <w:t>,000</w:t>
      </w:r>
      <w:r>
        <w:rPr>
          <w:rFonts w:cs="Arial"/>
          <w:szCs w:val="22"/>
        </w:rPr>
        <w:t xml:space="preserve"> Medicaid-eligible </w:t>
      </w:r>
      <w:r w:rsidRPr="00EA35F2">
        <w:rPr>
          <w:rFonts w:cs="Arial"/>
          <w:szCs w:val="22"/>
        </w:rPr>
        <w:t>people living in Cook County nursing facilities.</w:t>
      </w:r>
      <w:r w:rsidR="00227387">
        <w:rPr>
          <w:rFonts w:cs="Arial"/>
          <w:szCs w:val="22"/>
        </w:rPr>
        <w:t xml:space="preserve">  </w:t>
      </w:r>
      <w:r w:rsidRPr="00EA35F2">
        <w:rPr>
          <w:rFonts w:cs="Arial"/>
          <w:szCs w:val="22"/>
        </w:rPr>
        <w:t xml:space="preserve">The parties reached an agreement </w:t>
      </w:r>
      <w:r w:rsidR="00227387">
        <w:rPr>
          <w:rFonts w:cs="Arial"/>
          <w:szCs w:val="22"/>
        </w:rPr>
        <w:t>and t</w:t>
      </w:r>
      <w:r>
        <w:rPr>
          <w:szCs w:val="22"/>
        </w:rPr>
        <w:t>he Court approved the Consent Decree on December 20, 2011</w:t>
      </w:r>
      <w:r w:rsidR="00227387">
        <w:rPr>
          <w:szCs w:val="22"/>
        </w:rPr>
        <w:t>.</w:t>
      </w:r>
    </w:p>
    <w:p w:rsidR="00AC37D7" w:rsidRPr="00AC37D7" w:rsidRDefault="00AC37D7" w:rsidP="00AC37D7">
      <w:pPr>
        <w:pStyle w:val="Factsubhead"/>
        <w:rPr>
          <w:rFonts w:cs="Arial"/>
          <w:b/>
          <w:color w:val="auto"/>
          <w:szCs w:val="24"/>
        </w:rPr>
      </w:pPr>
      <w:r w:rsidRPr="00AC37D7">
        <w:rPr>
          <w:rFonts w:cs="Arial"/>
          <w:b/>
          <w:color w:val="auto"/>
          <w:szCs w:val="24"/>
        </w:rPr>
        <w:t xml:space="preserve">What </w:t>
      </w:r>
      <w:r w:rsidR="00E832AB">
        <w:rPr>
          <w:rFonts w:cs="Arial"/>
          <w:b/>
          <w:color w:val="auto"/>
          <w:szCs w:val="24"/>
        </w:rPr>
        <w:t xml:space="preserve">does </w:t>
      </w:r>
      <w:r w:rsidRPr="00AC37D7">
        <w:rPr>
          <w:rFonts w:cs="Arial"/>
          <w:b/>
          <w:color w:val="auto"/>
          <w:szCs w:val="24"/>
        </w:rPr>
        <w:t xml:space="preserve">the Consent Decree achieve? </w:t>
      </w:r>
    </w:p>
    <w:p w:rsidR="00AC37D7" w:rsidRPr="00EA35F2" w:rsidRDefault="00AC37D7" w:rsidP="00AC37D7">
      <w:pPr>
        <w:pStyle w:val="NoSpacing"/>
        <w:numPr>
          <w:ilvl w:val="0"/>
          <w:numId w:val="7"/>
        </w:numPr>
        <w:rPr>
          <w:rFonts w:ascii="Arial" w:hAnsi="Arial" w:cs="Arial"/>
          <w:sz w:val="22"/>
          <w:szCs w:val="22"/>
        </w:rPr>
      </w:pPr>
      <w:r>
        <w:rPr>
          <w:rFonts w:ascii="Arial" w:hAnsi="Arial" w:cs="Arial"/>
          <w:sz w:val="22"/>
          <w:szCs w:val="22"/>
        </w:rPr>
        <w:t xml:space="preserve">In accordance with </w:t>
      </w:r>
      <w:r w:rsidRPr="00893F99">
        <w:rPr>
          <w:rFonts w:ascii="Arial" w:hAnsi="Arial" w:cs="Arial"/>
          <w:i/>
          <w:sz w:val="22"/>
          <w:szCs w:val="22"/>
        </w:rPr>
        <w:t>Olmstead</w:t>
      </w:r>
      <w:r>
        <w:rPr>
          <w:rFonts w:ascii="Arial" w:hAnsi="Arial" w:cs="Arial"/>
          <w:i/>
          <w:sz w:val="22"/>
          <w:szCs w:val="22"/>
        </w:rPr>
        <w:t>,</w:t>
      </w:r>
      <w:r>
        <w:rPr>
          <w:rFonts w:ascii="Arial" w:hAnsi="Arial" w:cs="Arial"/>
          <w:sz w:val="22"/>
          <w:szCs w:val="22"/>
        </w:rPr>
        <w:t xml:space="preserve"> provide class members with the o</w:t>
      </w:r>
      <w:r w:rsidRPr="00EA35F2">
        <w:rPr>
          <w:rFonts w:ascii="Arial" w:hAnsi="Arial" w:cs="Arial"/>
          <w:sz w:val="22"/>
          <w:szCs w:val="22"/>
        </w:rPr>
        <w:t>pportunity to receive servic</w:t>
      </w:r>
      <w:r>
        <w:rPr>
          <w:rFonts w:ascii="Arial" w:hAnsi="Arial" w:cs="Arial"/>
          <w:sz w:val="22"/>
          <w:szCs w:val="22"/>
        </w:rPr>
        <w:t>es in the least restrictive environment that is appropriate to their needs</w:t>
      </w:r>
      <w:r w:rsidRPr="00EA35F2">
        <w:rPr>
          <w:rFonts w:ascii="Arial" w:hAnsi="Arial" w:cs="Arial"/>
          <w:sz w:val="22"/>
          <w:szCs w:val="22"/>
        </w:rPr>
        <w:t xml:space="preserve">. </w:t>
      </w:r>
    </w:p>
    <w:p w:rsidR="00AC37D7" w:rsidRPr="00EA35F2" w:rsidRDefault="00AC37D7" w:rsidP="00227387">
      <w:pPr>
        <w:pStyle w:val="NoSpacing"/>
        <w:numPr>
          <w:ilvl w:val="0"/>
          <w:numId w:val="7"/>
        </w:numPr>
        <w:spacing w:before="100" w:beforeAutospacing="1" w:after="100" w:afterAutospacing="1"/>
        <w:rPr>
          <w:rFonts w:ascii="Arial" w:hAnsi="Arial" w:cs="Arial"/>
          <w:sz w:val="22"/>
          <w:szCs w:val="22"/>
        </w:rPr>
      </w:pPr>
      <w:r>
        <w:rPr>
          <w:rFonts w:ascii="Arial" w:hAnsi="Arial" w:cs="Arial"/>
          <w:sz w:val="22"/>
          <w:szCs w:val="22"/>
        </w:rPr>
        <w:t xml:space="preserve">In the first 30 months, provide housing assistance that will permit more than 1,000 class members currently living in </w:t>
      </w:r>
      <w:r w:rsidRPr="00EA35F2">
        <w:rPr>
          <w:rFonts w:ascii="Arial" w:hAnsi="Arial" w:cs="Arial"/>
          <w:sz w:val="22"/>
          <w:szCs w:val="22"/>
        </w:rPr>
        <w:t xml:space="preserve">nursing facilities to </w:t>
      </w:r>
      <w:r>
        <w:rPr>
          <w:rFonts w:ascii="Arial" w:hAnsi="Arial" w:cs="Arial"/>
          <w:sz w:val="22"/>
          <w:szCs w:val="22"/>
        </w:rPr>
        <w:t xml:space="preserve">move into housing in the community who otherwise would not be able to do so.  </w:t>
      </w:r>
    </w:p>
    <w:p w:rsidR="00AC37D7" w:rsidRPr="00EA35F2" w:rsidRDefault="00944D45" w:rsidP="00227387">
      <w:pPr>
        <w:pStyle w:val="NoSpacing"/>
        <w:numPr>
          <w:ilvl w:val="0"/>
          <w:numId w:val="7"/>
        </w:numPr>
        <w:spacing w:before="100" w:beforeAutospacing="1" w:after="100" w:afterAutospacing="1"/>
        <w:rPr>
          <w:rFonts w:ascii="Arial" w:hAnsi="Arial" w:cs="Arial"/>
          <w:sz w:val="22"/>
          <w:szCs w:val="22"/>
        </w:rPr>
      </w:pPr>
      <w:r>
        <w:rPr>
          <w:rFonts w:ascii="Arial" w:hAnsi="Arial" w:cs="Arial"/>
          <w:sz w:val="22"/>
          <w:szCs w:val="22"/>
        </w:rPr>
        <w:t>P</w:t>
      </w:r>
      <w:r w:rsidR="00AC37D7" w:rsidRPr="00EA35F2">
        <w:rPr>
          <w:rFonts w:ascii="Arial" w:hAnsi="Arial" w:cs="Arial"/>
          <w:sz w:val="22"/>
          <w:szCs w:val="22"/>
        </w:rPr>
        <w:t xml:space="preserve">eople who desire to remain in nursing facilities will </w:t>
      </w:r>
      <w:r>
        <w:rPr>
          <w:rFonts w:ascii="Arial" w:hAnsi="Arial" w:cs="Arial"/>
          <w:sz w:val="22"/>
          <w:szCs w:val="22"/>
        </w:rPr>
        <w:t>not be required to move</w:t>
      </w:r>
    </w:p>
    <w:p w:rsidR="00AC37D7" w:rsidRPr="00EA35F2" w:rsidRDefault="00AC37D7" w:rsidP="00227387">
      <w:pPr>
        <w:pStyle w:val="NoSpacing"/>
        <w:numPr>
          <w:ilvl w:val="0"/>
          <w:numId w:val="7"/>
        </w:numPr>
        <w:spacing w:before="100" w:beforeAutospacing="1" w:after="100" w:afterAutospacing="1"/>
        <w:rPr>
          <w:rFonts w:ascii="Arial" w:hAnsi="Arial" w:cs="Arial"/>
          <w:sz w:val="22"/>
          <w:szCs w:val="22"/>
        </w:rPr>
      </w:pPr>
      <w:r>
        <w:rPr>
          <w:rFonts w:ascii="Arial" w:hAnsi="Arial" w:cs="Arial"/>
          <w:sz w:val="22"/>
          <w:szCs w:val="22"/>
        </w:rPr>
        <w:t xml:space="preserve">Require the State to </w:t>
      </w:r>
      <w:r w:rsidRPr="00EA35F2">
        <w:rPr>
          <w:rFonts w:ascii="Arial" w:hAnsi="Arial" w:cs="Arial"/>
          <w:sz w:val="22"/>
          <w:szCs w:val="22"/>
        </w:rPr>
        <w:t>develop a plan to transition other nursing facility resident</w:t>
      </w:r>
      <w:r>
        <w:rPr>
          <w:rFonts w:ascii="Arial" w:hAnsi="Arial" w:cs="Arial"/>
          <w:sz w:val="22"/>
          <w:szCs w:val="22"/>
        </w:rPr>
        <w:t>s</w:t>
      </w:r>
      <w:r w:rsidRPr="00EA35F2">
        <w:rPr>
          <w:rFonts w:ascii="Arial" w:hAnsi="Arial" w:cs="Arial"/>
          <w:sz w:val="22"/>
          <w:szCs w:val="22"/>
        </w:rPr>
        <w:t xml:space="preserve"> </w:t>
      </w:r>
      <w:r>
        <w:rPr>
          <w:rFonts w:ascii="Arial" w:hAnsi="Arial" w:cs="Arial"/>
          <w:sz w:val="22"/>
          <w:szCs w:val="22"/>
        </w:rPr>
        <w:t xml:space="preserve">into less restrictive and less costly </w:t>
      </w:r>
      <w:r w:rsidRPr="00EA35F2">
        <w:rPr>
          <w:rFonts w:ascii="Arial" w:hAnsi="Arial" w:cs="Arial"/>
          <w:sz w:val="22"/>
          <w:szCs w:val="22"/>
        </w:rPr>
        <w:t>community</w:t>
      </w:r>
      <w:r>
        <w:rPr>
          <w:rFonts w:ascii="Arial" w:hAnsi="Arial" w:cs="Arial"/>
          <w:sz w:val="22"/>
          <w:szCs w:val="22"/>
        </w:rPr>
        <w:t>-</w:t>
      </w:r>
      <w:r w:rsidRPr="00EA35F2">
        <w:rPr>
          <w:rFonts w:ascii="Arial" w:hAnsi="Arial" w:cs="Arial"/>
          <w:sz w:val="22"/>
          <w:szCs w:val="22"/>
        </w:rPr>
        <w:t xml:space="preserve">based settings. </w:t>
      </w:r>
    </w:p>
    <w:p w:rsidR="00227387" w:rsidRDefault="00AC37D7" w:rsidP="00227387">
      <w:pPr>
        <w:pStyle w:val="BodyFactsheet"/>
        <w:numPr>
          <w:ilvl w:val="0"/>
          <w:numId w:val="7"/>
        </w:numPr>
        <w:autoSpaceDE w:val="0"/>
        <w:autoSpaceDN w:val="0"/>
        <w:adjustRightInd w:val="0"/>
        <w:spacing w:before="100" w:beforeAutospacing="1" w:after="100" w:afterAutospacing="1"/>
        <w:rPr>
          <w:rFonts w:cs="Arial"/>
          <w:szCs w:val="22"/>
        </w:rPr>
      </w:pPr>
      <w:r w:rsidRPr="00227387">
        <w:rPr>
          <w:rFonts w:cs="Arial"/>
          <w:szCs w:val="22"/>
        </w:rPr>
        <w:t>Develop community-based services and housing for class members moving out of nursing facilities</w:t>
      </w:r>
      <w:r w:rsidR="00A35569">
        <w:rPr>
          <w:rFonts w:cs="Arial"/>
          <w:szCs w:val="22"/>
        </w:rPr>
        <w:t>, with the default being permanent supported housing</w:t>
      </w:r>
      <w:r w:rsidRPr="00227387">
        <w:rPr>
          <w:rFonts w:cs="Arial"/>
          <w:szCs w:val="22"/>
        </w:rPr>
        <w:t>.</w:t>
      </w:r>
    </w:p>
    <w:p w:rsidR="00AC37D7" w:rsidRPr="00227387" w:rsidRDefault="00AC37D7" w:rsidP="00227387">
      <w:pPr>
        <w:pStyle w:val="BodyFactsheet"/>
        <w:numPr>
          <w:ilvl w:val="0"/>
          <w:numId w:val="7"/>
        </w:numPr>
        <w:autoSpaceDE w:val="0"/>
        <w:autoSpaceDN w:val="0"/>
        <w:adjustRightInd w:val="0"/>
        <w:spacing w:before="100" w:beforeAutospacing="1" w:after="100" w:afterAutospacing="1"/>
        <w:rPr>
          <w:rFonts w:cs="Arial"/>
          <w:szCs w:val="22"/>
        </w:rPr>
      </w:pPr>
      <w:r w:rsidRPr="00227387">
        <w:rPr>
          <w:rFonts w:cs="Arial"/>
          <w:szCs w:val="22"/>
        </w:rPr>
        <w:t xml:space="preserve">The Judge appointed an Independent Monitor with expertise in the development and provision of community-based services to persons with mental illness and physical disabilities. </w:t>
      </w:r>
    </w:p>
    <w:p w:rsidR="00227387" w:rsidRPr="00C01C36" w:rsidRDefault="00C01C36" w:rsidP="00227387">
      <w:pPr>
        <w:pStyle w:val="BodyFactsheet"/>
        <w:numPr>
          <w:ilvl w:val="0"/>
          <w:numId w:val="7"/>
        </w:numPr>
        <w:spacing w:before="100" w:beforeAutospacing="1" w:after="100" w:afterAutospacing="1"/>
        <w:rPr>
          <w:rFonts w:cs="Arial"/>
          <w:szCs w:val="22"/>
        </w:rPr>
      </w:pPr>
      <w:r>
        <w:t xml:space="preserve">Through September 2019, the State has provided over 2,500 people with services under the Decree, but was found out of compliance </w:t>
      </w:r>
      <w:r w:rsidR="0060614C">
        <w:t xml:space="preserve">by the Monitor </w:t>
      </w:r>
      <w:r>
        <w:t xml:space="preserve">for not meeting the required transitions this past year. </w:t>
      </w:r>
      <w:r w:rsidR="00227387" w:rsidRPr="00C01C36">
        <w:rPr>
          <w:rFonts w:cs="Arial"/>
          <w:szCs w:val="22"/>
        </w:rPr>
        <w:t xml:space="preserve">The State </w:t>
      </w:r>
      <w:r w:rsidR="00EA7790" w:rsidRPr="00C01C36">
        <w:rPr>
          <w:rFonts w:cs="Arial"/>
          <w:szCs w:val="22"/>
        </w:rPr>
        <w:t>has developed</w:t>
      </w:r>
      <w:r w:rsidR="00227387" w:rsidRPr="00C01C36">
        <w:rPr>
          <w:rFonts w:cs="Arial"/>
          <w:szCs w:val="22"/>
        </w:rPr>
        <w:t xml:space="preserve"> a new Implementation Plan to address the deficiencies identified by the Monitor. </w:t>
      </w:r>
    </w:p>
    <w:p w:rsidR="00C720D3" w:rsidRPr="00C720D3" w:rsidRDefault="00227387" w:rsidP="00AC37D7">
      <w:pPr>
        <w:pStyle w:val="NoSpacing"/>
        <w:numPr>
          <w:ilvl w:val="0"/>
          <w:numId w:val="7"/>
        </w:numPr>
        <w:spacing w:before="100" w:beforeAutospacing="1" w:after="100" w:afterAutospacing="1"/>
        <w:rPr>
          <w:rFonts w:ascii="Arial Black" w:hAnsi="Arial Black" w:cs="Arial"/>
          <w:b/>
        </w:rPr>
      </w:pPr>
      <w:r w:rsidRPr="00C720D3">
        <w:rPr>
          <w:rFonts w:ascii="Arial" w:hAnsi="Arial" w:cs="Arial"/>
          <w:sz w:val="22"/>
          <w:szCs w:val="22"/>
        </w:rPr>
        <w:t xml:space="preserve">Documents related to the case can be found at: </w:t>
      </w:r>
      <w:hyperlink r:id="rId8" w:history="1">
        <w:r w:rsidR="00C720D3">
          <w:rPr>
            <w:rStyle w:val="Hyperlink"/>
          </w:rPr>
          <w:t>https://www.equipforequality.org/issues/community-integration/documents-from-efes-class-actions/</w:t>
        </w:r>
      </w:hyperlink>
    </w:p>
    <w:p w:rsidR="00C720D3" w:rsidRDefault="00AC37D7" w:rsidP="00DD028C">
      <w:pPr>
        <w:pStyle w:val="NoSpacing"/>
        <w:rPr>
          <w:rFonts w:ascii="Arial Black" w:hAnsi="Arial Black" w:cs="Arial"/>
          <w:b/>
        </w:rPr>
      </w:pPr>
      <w:proofErr w:type="gramStart"/>
      <w:r w:rsidRPr="00C720D3">
        <w:rPr>
          <w:rFonts w:ascii="Arial Black" w:hAnsi="Arial Black" w:cs="Arial"/>
          <w:b/>
        </w:rPr>
        <w:t>Questions?</w:t>
      </w:r>
      <w:proofErr w:type="gramEnd"/>
      <w:r w:rsidRPr="00C720D3">
        <w:rPr>
          <w:rFonts w:ascii="Arial Black" w:hAnsi="Arial Black" w:cs="Arial"/>
          <w:b/>
        </w:rPr>
        <w:t xml:space="preserve"> </w:t>
      </w:r>
    </w:p>
    <w:p w:rsidR="00BE635C" w:rsidRDefault="00AC37D7" w:rsidP="00DD028C">
      <w:pPr>
        <w:pStyle w:val="NoSpacing"/>
        <w:rPr>
          <w:rFonts w:ascii="Arial" w:hAnsi="Arial"/>
          <w:sz w:val="22"/>
        </w:rPr>
      </w:pPr>
      <w:r w:rsidRPr="00EA35F2">
        <w:rPr>
          <w:rFonts w:ascii="Arial" w:hAnsi="Arial"/>
          <w:sz w:val="22"/>
          <w:szCs w:val="22"/>
        </w:rPr>
        <w:t xml:space="preserve">If you have questions about </w:t>
      </w:r>
      <w:r w:rsidR="00EA7790">
        <w:rPr>
          <w:rFonts w:ascii="Arial" w:hAnsi="Arial"/>
          <w:sz w:val="22"/>
          <w:szCs w:val="22"/>
        </w:rPr>
        <w:t xml:space="preserve">the Consent Decree </w:t>
      </w:r>
      <w:r w:rsidR="001D599E">
        <w:rPr>
          <w:rFonts w:ascii="Arial" w:hAnsi="Arial"/>
          <w:sz w:val="22"/>
          <w:szCs w:val="22"/>
        </w:rPr>
        <w:t xml:space="preserve">you </w:t>
      </w:r>
      <w:r w:rsidR="00EA7790">
        <w:rPr>
          <w:rFonts w:ascii="Arial" w:hAnsi="Arial"/>
          <w:sz w:val="22"/>
          <w:szCs w:val="22"/>
        </w:rPr>
        <w:t xml:space="preserve">can call the State’s Colbert Helpline at </w:t>
      </w:r>
      <w:r w:rsidR="00DD028C">
        <w:rPr>
          <w:rFonts w:ascii="Arial" w:hAnsi="Arial"/>
          <w:sz w:val="22"/>
          <w:szCs w:val="22"/>
        </w:rPr>
        <w:t xml:space="preserve">       </w:t>
      </w:r>
      <w:r w:rsidR="00EA7790" w:rsidRPr="00EA7790">
        <w:rPr>
          <w:rFonts w:ascii="Arial" w:hAnsi="Arial" w:cs="Arial"/>
          <w:b/>
          <w:bCs/>
          <w:sz w:val="22"/>
          <w:szCs w:val="22"/>
        </w:rPr>
        <w:t>1-800-252-8966</w:t>
      </w:r>
      <w:r w:rsidR="00EA7790">
        <w:rPr>
          <w:rFonts w:ascii="Arial" w:hAnsi="Arial"/>
          <w:sz w:val="22"/>
          <w:szCs w:val="22"/>
        </w:rPr>
        <w:t xml:space="preserve"> or </w:t>
      </w:r>
      <w:r w:rsidR="001D599E">
        <w:rPr>
          <w:rFonts w:ascii="Arial" w:hAnsi="Arial"/>
          <w:sz w:val="22"/>
          <w:szCs w:val="22"/>
        </w:rPr>
        <w:t xml:space="preserve">contact Stephen Libowsky, </w:t>
      </w:r>
      <w:r w:rsidR="00EA7790">
        <w:rPr>
          <w:rFonts w:ascii="Arial" w:hAnsi="Arial"/>
          <w:sz w:val="22"/>
          <w:szCs w:val="22"/>
        </w:rPr>
        <w:t>l</w:t>
      </w:r>
      <w:r>
        <w:rPr>
          <w:rFonts w:ascii="Arial" w:hAnsi="Arial"/>
          <w:sz w:val="22"/>
          <w:szCs w:val="22"/>
        </w:rPr>
        <w:t xml:space="preserve">ead counsel </w:t>
      </w:r>
      <w:r w:rsidR="00EA7790">
        <w:rPr>
          <w:rFonts w:ascii="Arial" w:hAnsi="Arial"/>
          <w:sz w:val="22"/>
          <w:szCs w:val="22"/>
        </w:rPr>
        <w:t>for the class</w:t>
      </w:r>
      <w:r w:rsidR="001D599E">
        <w:rPr>
          <w:rFonts w:ascii="Arial" w:hAnsi="Arial"/>
          <w:sz w:val="22"/>
          <w:szCs w:val="22"/>
        </w:rPr>
        <w:t>,</w:t>
      </w:r>
      <w:r w:rsidRPr="00EA35F2">
        <w:rPr>
          <w:rFonts w:ascii="Arial" w:hAnsi="Arial"/>
          <w:sz w:val="22"/>
          <w:szCs w:val="22"/>
        </w:rPr>
        <w:t xml:space="preserve"> </w:t>
      </w:r>
      <w:r>
        <w:rPr>
          <w:rFonts w:ascii="Arial" w:hAnsi="Arial"/>
          <w:sz w:val="22"/>
          <w:szCs w:val="22"/>
        </w:rPr>
        <w:t>at 312-876-2529</w:t>
      </w:r>
      <w:r w:rsidRPr="00EA35F2">
        <w:rPr>
          <w:rFonts w:ascii="Arial" w:hAnsi="Arial"/>
          <w:sz w:val="22"/>
          <w:szCs w:val="22"/>
        </w:rPr>
        <w:t xml:space="preserve"> or</w:t>
      </w:r>
      <w:r>
        <w:rPr>
          <w:rFonts w:ascii="Arial" w:hAnsi="Arial"/>
          <w:sz w:val="22"/>
          <w:szCs w:val="22"/>
        </w:rPr>
        <w:t xml:space="preserve"> </w:t>
      </w:r>
      <w:hyperlink r:id="rId9" w:history="1">
        <w:r w:rsidR="00227387" w:rsidRPr="00837EA7">
          <w:rPr>
            <w:rStyle w:val="Hyperlink"/>
            <w:rFonts w:ascii="Arial" w:hAnsi="Arial"/>
            <w:sz w:val="22"/>
            <w:szCs w:val="22"/>
          </w:rPr>
          <w:t>stephen.libowsky@dentons.com</w:t>
        </w:r>
      </w:hyperlink>
      <w:r w:rsidR="00EA7790">
        <w:t xml:space="preserve"> </w:t>
      </w:r>
    </w:p>
    <w:sectPr w:rsidR="00BE635C" w:rsidSect="00BE635C">
      <w:pgSz w:w="12240" w:h="15840"/>
      <w:pgMar w:top="1440" w:right="1260" w:bottom="81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2">
    <w:nsid w:val="00000005"/>
    <w:multiLevelType w:val="multilevel"/>
    <w:tmpl w:val="00000005"/>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3">
    <w:nsid w:val="00001BE0"/>
    <w:multiLevelType w:val="hybridMultilevel"/>
    <w:tmpl w:val="BE926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952060"/>
    <w:multiLevelType w:val="hybridMultilevel"/>
    <w:tmpl w:val="C040EA82"/>
    <w:lvl w:ilvl="0" w:tplc="C3F88874">
      <w:start w:val="1"/>
      <w:numFmt w:val="bullet"/>
      <w:pStyle w:val="Bulletfactsheet"/>
      <w:lvlText w:val=""/>
      <w:lvlJc w:val="left"/>
      <w:pPr>
        <w:tabs>
          <w:tab w:val="num" w:pos="1080"/>
        </w:tabs>
        <w:ind w:left="1080" w:hanging="360"/>
      </w:pPr>
      <w:rPr>
        <w:rFonts w:ascii="Symbol" w:hAnsi="Symbol" w:hint="default"/>
        <w:color w:val="008000"/>
        <w:sz w:val="24"/>
      </w:rPr>
    </w:lvl>
    <w:lvl w:ilvl="1" w:tplc="42F8799C" w:tentative="1">
      <w:start w:val="1"/>
      <w:numFmt w:val="bullet"/>
      <w:lvlText w:val="o"/>
      <w:lvlJc w:val="left"/>
      <w:pPr>
        <w:tabs>
          <w:tab w:val="num" w:pos="1440"/>
        </w:tabs>
        <w:ind w:left="1440" w:hanging="360"/>
      </w:pPr>
      <w:rPr>
        <w:rFonts w:ascii="Courier New" w:hAnsi="Courier New" w:hint="default"/>
      </w:rPr>
    </w:lvl>
    <w:lvl w:ilvl="2" w:tplc="BFF24396" w:tentative="1">
      <w:start w:val="1"/>
      <w:numFmt w:val="bullet"/>
      <w:pStyle w:val="Heading3"/>
      <w:lvlText w:val=""/>
      <w:lvlJc w:val="left"/>
      <w:pPr>
        <w:tabs>
          <w:tab w:val="num" w:pos="2160"/>
        </w:tabs>
        <w:ind w:left="2160" w:hanging="360"/>
      </w:pPr>
      <w:rPr>
        <w:rFonts w:ascii="Wingdings" w:hAnsi="Wingdings" w:hint="default"/>
      </w:rPr>
    </w:lvl>
    <w:lvl w:ilvl="3" w:tplc="231E812E" w:tentative="1">
      <w:start w:val="1"/>
      <w:numFmt w:val="bullet"/>
      <w:lvlText w:val=""/>
      <w:lvlJc w:val="left"/>
      <w:pPr>
        <w:tabs>
          <w:tab w:val="num" w:pos="2880"/>
        </w:tabs>
        <w:ind w:left="2880" w:hanging="360"/>
      </w:pPr>
      <w:rPr>
        <w:rFonts w:ascii="Symbol" w:hAnsi="Symbol" w:hint="default"/>
      </w:rPr>
    </w:lvl>
    <w:lvl w:ilvl="4" w:tplc="676CFAD0" w:tentative="1">
      <w:start w:val="1"/>
      <w:numFmt w:val="bullet"/>
      <w:lvlText w:val="o"/>
      <w:lvlJc w:val="left"/>
      <w:pPr>
        <w:tabs>
          <w:tab w:val="num" w:pos="3600"/>
        </w:tabs>
        <w:ind w:left="3600" w:hanging="360"/>
      </w:pPr>
      <w:rPr>
        <w:rFonts w:ascii="Courier New" w:hAnsi="Courier New" w:hint="default"/>
      </w:rPr>
    </w:lvl>
    <w:lvl w:ilvl="5" w:tplc="C0AC35BC" w:tentative="1">
      <w:start w:val="1"/>
      <w:numFmt w:val="bullet"/>
      <w:lvlText w:val=""/>
      <w:lvlJc w:val="left"/>
      <w:pPr>
        <w:tabs>
          <w:tab w:val="num" w:pos="4320"/>
        </w:tabs>
        <w:ind w:left="4320" w:hanging="360"/>
      </w:pPr>
      <w:rPr>
        <w:rFonts w:ascii="Wingdings" w:hAnsi="Wingdings" w:hint="default"/>
      </w:rPr>
    </w:lvl>
    <w:lvl w:ilvl="6" w:tplc="E850CBF4" w:tentative="1">
      <w:start w:val="1"/>
      <w:numFmt w:val="bullet"/>
      <w:lvlText w:val=""/>
      <w:lvlJc w:val="left"/>
      <w:pPr>
        <w:tabs>
          <w:tab w:val="num" w:pos="5040"/>
        </w:tabs>
        <w:ind w:left="5040" w:hanging="360"/>
      </w:pPr>
      <w:rPr>
        <w:rFonts w:ascii="Symbol" w:hAnsi="Symbol" w:hint="default"/>
      </w:rPr>
    </w:lvl>
    <w:lvl w:ilvl="7" w:tplc="F258BBA8" w:tentative="1">
      <w:start w:val="1"/>
      <w:numFmt w:val="bullet"/>
      <w:lvlText w:val="o"/>
      <w:lvlJc w:val="left"/>
      <w:pPr>
        <w:tabs>
          <w:tab w:val="num" w:pos="5760"/>
        </w:tabs>
        <w:ind w:left="5760" w:hanging="360"/>
      </w:pPr>
      <w:rPr>
        <w:rFonts w:ascii="Courier New" w:hAnsi="Courier New" w:hint="default"/>
      </w:rPr>
    </w:lvl>
    <w:lvl w:ilvl="8" w:tplc="BC20BACE" w:tentative="1">
      <w:start w:val="1"/>
      <w:numFmt w:val="bullet"/>
      <w:lvlText w:val=""/>
      <w:lvlJc w:val="left"/>
      <w:pPr>
        <w:tabs>
          <w:tab w:val="num" w:pos="6480"/>
        </w:tabs>
        <w:ind w:left="6480" w:hanging="360"/>
      </w:pPr>
      <w:rPr>
        <w:rFonts w:ascii="Wingdings" w:hAnsi="Wingdings" w:hint="default"/>
      </w:rPr>
    </w:lvl>
  </w:abstractNum>
  <w:abstractNum w:abstractNumId="5">
    <w:nsid w:val="288E1693"/>
    <w:multiLevelType w:val="hybridMultilevel"/>
    <w:tmpl w:val="6F3A8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A97BD0"/>
    <w:multiLevelType w:val="hybridMultilevel"/>
    <w:tmpl w:val="669282CA"/>
    <w:lvl w:ilvl="0" w:tplc="3A8C9EF8">
      <w:start w:val="1"/>
      <w:numFmt w:val="bullet"/>
      <w:lvlText w:val=""/>
      <w:lvlJc w:val="left"/>
      <w:pPr>
        <w:tabs>
          <w:tab w:val="num" w:pos="720"/>
        </w:tabs>
        <w:ind w:left="720" w:hanging="360"/>
      </w:pPr>
      <w:rPr>
        <w:rFonts w:ascii="Symbol" w:hAnsi="Symbol" w:hint="default"/>
      </w:rPr>
    </w:lvl>
    <w:lvl w:ilvl="1" w:tplc="3380FD68" w:tentative="1">
      <w:start w:val="1"/>
      <w:numFmt w:val="bullet"/>
      <w:lvlText w:val="o"/>
      <w:lvlJc w:val="left"/>
      <w:pPr>
        <w:tabs>
          <w:tab w:val="num" w:pos="1440"/>
        </w:tabs>
        <w:ind w:left="1440" w:hanging="360"/>
      </w:pPr>
      <w:rPr>
        <w:rFonts w:ascii="Courier New" w:hAnsi="Courier New" w:hint="default"/>
      </w:rPr>
    </w:lvl>
    <w:lvl w:ilvl="2" w:tplc="06589CA8" w:tentative="1">
      <w:start w:val="1"/>
      <w:numFmt w:val="bullet"/>
      <w:lvlText w:val=""/>
      <w:lvlJc w:val="left"/>
      <w:pPr>
        <w:tabs>
          <w:tab w:val="num" w:pos="2160"/>
        </w:tabs>
        <w:ind w:left="2160" w:hanging="360"/>
      </w:pPr>
      <w:rPr>
        <w:rFonts w:ascii="Wingdings" w:hAnsi="Wingdings" w:hint="default"/>
      </w:rPr>
    </w:lvl>
    <w:lvl w:ilvl="3" w:tplc="7FA8BCCE" w:tentative="1">
      <w:start w:val="1"/>
      <w:numFmt w:val="bullet"/>
      <w:lvlText w:val=""/>
      <w:lvlJc w:val="left"/>
      <w:pPr>
        <w:tabs>
          <w:tab w:val="num" w:pos="2880"/>
        </w:tabs>
        <w:ind w:left="2880" w:hanging="360"/>
      </w:pPr>
      <w:rPr>
        <w:rFonts w:ascii="Symbol" w:hAnsi="Symbol" w:hint="default"/>
      </w:rPr>
    </w:lvl>
    <w:lvl w:ilvl="4" w:tplc="B4581E2C" w:tentative="1">
      <w:start w:val="1"/>
      <w:numFmt w:val="bullet"/>
      <w:lvlText w:val="o"/>
      <w:lvlJc w:val="left"/>
      <w:pPr>
        <w:tabs>
          <w:tab w:val="num" w:pos="3600"/>
        </w:tabs>
        <w:ind w:left="3600" w:hanging="360"/>
      </w:pPr>
      <w:rPr>
        <w:rFonts w:ascii="Courier New" w:hAnsi="Courier New" w:hint="default"/>
      </w:rPr>
    </w:lvl>
    <w:lvl w:ilvl="5" w:tplc="006A2682" w:tentative="1">
      <w:start w:val="1"/>
      <w:numFmt w:val="bullet"/>
      <w:lvlText w:val=""/>
      <w:lvlJc w:val="left"/>
      <w:pPr>
        <w:tabs>
          <w:tab w:val="num" w:pos="4320"/>
        </w:tabs>
        <w:ind w:left="4320" w:hanging="360"/>
      </w:pPr>
      <w:rPr>
        <w:rFonts w:ascii="Wingdings" w:hAnsi="Wingdings" w:hint="default"/>
      </w:rPr>
    </w:lvl>
    <w:lvl w:ilvl="6" w:tplc="D1DC94A8" w:tentative="1">
      <w:start w:val="1"/>
      <w:numFmt w:val="bullet"/>
      <w:lvlText w:val=""/>
      <w:lvlJc w:val="left"/>
      <w:pPr>
        <w:tabs>
          <w:tab w:val="num" w:pos="5040"/>
        </w:tabs>
        <w:ind w:left="5040" w:hanging="360"/>
      </w:pPr>
      <w:rPr>
        <w:rFonts w:ascii="Symbol" w:hAnsi="Symbol" w:hint="default"/>
      </w:rPr>
    </w:lvl>
    <w:lvl w:ilvl="7" w:tplc="753E60D2" w:tentative="1">
      <w:start w:val="1"/>
      <w:numFmt w:val="bullet"/>
      <w:lvlText w:val="o"/>
      <w:lvlJc w:val="left"/>
      <w:pPr>
        <w:tabs>
          <w:tab w:val="num" w:pos="5760"/>
        </w:tabs>
        <w:ind w:left="5760" w:hanging="360"/>
      </w:pPr>
      <w:rPr>
        <w:rFonts w:ascii="Courier New" w:hAnsi="Courier New" w:hint="default"/>
      </w:rPr>
    </w:lvl>
    <w:lvl w:ilvl="8" w:tplc="E2661D1C" w:tentative="1">
      <w:start w:val="1"/>
      <w:numFmt w:val="bullet"/>
      <w:lvlText w:val=""/>
      <w:lvlJc w:val="left"/>
      <w:pPr>
        <w:tabs>
          <w:tab w:val="num" w:pos="6480"/>
        </w:tabs>
        <w:ind w:left="6480" w:hanging="360"/>
      </w:pPr>
      <w:rPr>
        <w:rFonts w:ascii="Wingdings" w:hAnsi="Wingdings" w:hint="default"/>
      </w:rPr>
    </w:lvl>
  </w:abstractNum>
  <w:abstractNum w:abstractNumId="7">
    <w:nsid w:val="7737507A"/>
    <w:multiLevelType w:val="hybridMultilevel"/>
    <w:tmpl w:val="58EEFE5E"/>
    <w:lvl w:ilvl="0" w:tplc="E8769792">
      <w:start w:val="1"/>
      <w:numFmt w:val="bullet"/>
      <w:lvlText w:val=""/>
      <w:lvlJc w:val="left"/>
      <w:pPr>
        <w:tabs>
          <w:tab w:val="num" w:pos="720"/>
        </w:tabs>
        <w:ind w:left="720" w:hanging="360"/>
      </w:pPr>
      <w:rPr>
        <w:rFonts w:ascii="Symbol" w:hAnsi="Symbol" w:hint="default"/>
      </w:rPr>
    </w:lvl>
    <w:lvl w:ilvl="1" w:tplc="66A40A64" w:tentative="1">
      <w:start w:val="1"/>
      <w:numFmt w:val="bullet"/>
      <w:lvlText w:val="o"/>
      <w:lvlJc w:val="left"/>
      <w:pPr>
        <w:tabs>
          <w:tab w:val="num" w:pos="1440"/>
        </w:tabs>
        <w:ind w:left="1440" w:hanging="360"/>
      </w:pPr>
      <w:rPr>
        <w:rFonts w:ascii="Courier New" w:hAnsi="Courier New" w:hint="default"/>
      </w:rPr>
    </w:lvl>
    <w:lvl w:ilvl="2" w:tplc="F5681E3A" w:tentative="1">
      <w:start w:val="1"/>
      <w:numFmt w:val="bullet"/>
      <w:lvlText w:val=""/>
      <w:lvlJc w:val="left"/>
      <w:pPr>
        <w:tabs>
          <w:tab w:val="num" w:pos="2160"/>
        </w:tabs>
        <w:ind w:left="2160" w:hanging="360"/>
      </w:pPr>
      <w:rPr>
        <w:rFonts w:ascii="Wingdings" w:hAnsi="Wingdings" w:hint="default"/>
      </w:rPr>
    </w:lvl>
    <w:lvl w:ilvl="3" w:tplc="2212907C" w:tentative="1">
      <w:start w:val="1"/>
      <w:numFmt w:val="bullet"/>
      <w:lvlText w:val=""/>
      <w:lvlJc w:val="left"/>
      <w:pPr>
        <w:tabs>
          <w:tab w:val="num" w:pos="2880"/>
        </w:tabs>
        <w:ind w:left="2880" w:hanging="360"/>
      </w:pPr>
      <w:rPr>
        <w:rFonts w:ascii="Symbol" w:hAnsi="Symbol" w:hint="default"/>
      </w:rPr>
    </w:lvl>
    <w:lvl w:ilvl="4" w:tplc="659A5A9A" w:tentative="1">
      <w:start w:val="1"/>
      <w:numFmt w:val="bullet"/>
      <w:lvlText w:val="o"/>
      <w:lvlJc w:val="left"/>
      <w:pPr>
        <w:tabs>
          <w:tab w:val="num" w:pos="3600"/>
        </w:tabs>
        <w:ind w:left="3600" w:hanging="360"/>
      </w:pPr>
      <w:rPr>
        <w:rFonts w:ascii="Courier New" w:hAnsi="Courier New" w:hint="default"/>
      </w:rPr>
    </w:lvl>
    <w:lvl w:ilvl="5" w:tplc="4710BF40" w:tentative="1">
      <w:start w:val="1"/>
      <w:numFmt w:val="bullet"/>
      <w:lvlText w:val=""/>
      <w:lvlJc w:val="left"/>
      <w:pPr>
        <w:tabs>
          <w:tab w:val="num" w:pos="4320"/>
        </w:tabs>
        <w:ind w:left="4320" w:hanging="360"/>
      </w:pPr>
      <w:rPr>
        <w:rFonts w:ascii="Wingdings" w:hAnsi="Wingdings" w:hint="default"/>
      </w:rPr>
    </w:lvl>
    <w:lvl w:ilvl="6" w:tplc="AC84F5FE" w:tentative="1">
      <w:start w:val="1"/>
      <w:numFmt w:val="bullet"/>
      <w:lvlText w:val=""/>
      <w:lvlJc w:val="left"/>
      <w:pPr>
        <w:tabs>
          <w:tab w:val="num" w:pos="5040"/>
        </w:tabs>
        <w:ind w:left="5040" w:hanging="360"/>
      </w:pPr>
      <w:rPr>
        <w:rFonts w:ascii="Symbol" w:hAnsi="Symbol" w:hint="default"/>
      </w:rPr>
    </w:lvl>
    <w:lvl w:ilvl="7" w:tplc="AD7E6404" w:tentative="1">
      <w:start w:val="1"/>
      <w:numFmt w:val="bullet"/>
      <w:lvlText w:val="o"/>
      <w:lvlJc w:val="left"/>
      <w:pPr>
        <w:tabs>
          <w:tab w:val="num" w:pos="5760"/>
        </w:tabs>
        <w:ind w:left="5760" w:hanging="360"/>
      </w:pPr>
      <w:rPr>
        <w:rFonts w:ascii="Courier New" w:hAnsi="Courier New" w:hint="default"/>
      </w:rPr>
    </w:lvl>
    <w:lvl w:ilvl="8" w:tplc="7332CFD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90"/>
  <w:drawingGridVerticalSpacing w:val="163"/>
  <w:displayHorizontalDrawingGridEvery w:val="2"/>
  <w:displayVerticalDrawingGridEvery w:val="2"/>
  <w:noPunctuationKerning/>
  <w:characterSpacingControl w:val="doNotCompress"/>
  <w:compat/>
  <w:rsids>
    <w:rsidRoot w:val="003E62F5"/>
    <w:rsid w:val="000D2C5A"/>
    <w:rsid w:val="001D599E"/>
    <w:rsid w:val="00227387"/>
    <w:rsid w:val="002C3488"/>
    <w:rsid w:val="00345771"/>
    <w:rsid w:val="00373C80"/>
    <w:rsid w:val="003E62F5"/>
    <w:rsid w:val="004110C3"/>
    <w:rsid w:val="0060614C"/>
    <w:rsid w:val="00695141"/>
    <w:rsid w:val="006C33CF"/>
    <w:rsid w:val="006C7CC0"/>
    <w:rsid w:val="00721289"/>
    <w:rsid w:val="00875265"/>
    <w:rsid w:val="00944D45"/>
    <w:rsid w:val="00A039B8"/>
    <w:rsid w:val="00A35569"/>
    <w:rsid w:val="00A7379D"/>
    <w:rsid w:val="00AC37D7"/>
    <w:rsid w:val="00B322D2"/>
    <w:rsid w:val="00B35723"/>
    <w:rsid w:val="00BE635C"/>
    <w:rsid w:val="00C01C36"/>
    <w:rsid w:val="00C1287F"/>
    <w:rsid w:val="00C309DD"/>
    <w:rsid w:val="00C720D3"/>
    <w:rsid w:val="00CE1A39"/>
    <w:rsid w:val="00DD028C"/>
    <w:rsid w:val="00DD26CC"/>
    <w:rsid w:val="00DD4F92"/>
    <w:rsid w:val="00E43174"/>
    <w:rsid w:val="00E6234E"/>
    <w:rsid w:val="00E832AB"/>
    <w:rsid w:val="00EA7790"/>
    <w:rsid w:val="00EB5E41"/>
    <w:rsid w:val="00F51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35C"/>
    <w:rPr>
      <w:sz w:val="24"/>
    </w:rPr>
  </w:style>
  <w:style w:type="paragraph" w:styleId="Heading1">
    <w:name w:val="heading 1"/>
    <w:basedOn w:val="Normal"/>
    <w:next w:val="Normal"/>
    <w:qFormat/>
    <w:rsid w:val="00BE635C"/>
    <w:pPr>
      <w:keepNext/>
      <w:outlineLvl w:val="0"/>
    </w:pPr>
    <w:rPr>
      <w:b/>
    </w:rPr>
  </w:style>
  <w:style w:type="paragraph" w:styleId="Heading2">
    <w:name w:val="heading 2"/>
    <w:basedOn w:val="Normal"/>
    <w:next w:val="Normal"/>
    <w:qFormat/>
    <w:rsid w:val="00BE635C"/>
    <w:pPr>
      <w:keepNext/>
      <w:ind w:right="-180" w:hanging="180"/>
      <w:jc w:val="center"/>
      <w:outlineLvl w:val="1"/>
    </w:pPr>
    <w:rPr>
      <w:b/>
      <w:i/>
      <w:kern w:val="28"/>
      <w:sz w:val="28"/>
    </w:rPr>
  </w:style>
  <w:style w:type="paragraph" w:styleId="Heading3">
    <w:name w:val="heading 3"/>
    <w:basedOn w:val="Normal"/>
    <w:next w:val="BodyText"/>
    <w:qFormat/>
    <w:rsid w:val="00BE635C"/>
    <w:pPr>
      <w:keepNext/>
      <w:widowControl w:val="0"/>
      <w:numPr>
        <w:ilvl w:val="2"/>
        <w:numId w:val="1"/>
      </w:numPr>
      <w:suppressAutoHyphens/>
      <w:spacing w:before="240" w:after="283"/>
      <w:ind w:right="86"/>
      <w:outlineLvl w:val="2"/>
    </w:pPr>
    <w:rPr>
      <w:rFonts w:ascii="Albany" w:eastAsia="HG Mincho Light J" w:hAnsi="Albany"/>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E635C"/>
    <w:rPr>
      <w:i/>
    </w:rPr>
  </w:style>
  <w:style w:type="paragraph" w:styleId="NormalWeb">
    <w:name w:val="Normal (Web)"/>
    <w:basedOn w:val="Normal"/>
    <w:semiHidden/>
    <w:rsid w:val="00BE635C"/>
    <w:pPr>
      <w:spacing w:before="100" w:beforeAutospacing="1" w:after="100" w:afterAutospacing="1"/>
    </w:pPr>
  </w:style>
  <w:style w:type="paragraph" w:styleId="BalloonText">
    <w:name w:val="Balloon Text"/>
    <w:basedOn w:val="Normal"/>
    <w:semiHidden/>
    <w:rsid w:val="00BE635C"/>
    <w:rPr>
      <w:rFonts w:ascii="Tahoma" w:hAnsi="Tahoma"/>
      <w:sz w:val="16"/>
    </w:rPr>
  </w:style>
  <w:style w:type="character" w:styleId="Hyperlink">
    <w:name w:val="Hyperlink"/>
    <w:basedOn w:val="DefaultParagraphFont"/>
    <w:uiPriority w:val="99"/>
    <w:rsid w:val="00BE635C"/>
    <w:rPr>
      <w:color w:val="0000FF"/>
      <w:u w:val="single"/>
    </w:rPr>
  </w:style>
  <w:style w:type="paragraph" w:styleId="BodyText">
    <w:name w:val="Body Text"/>
    <w:basedOn w:val="Normal"/>
    <w:semiHidden/>
    <w:rsid w:val="00BE635C"/>
    <w:pPr>
      <w:jc w:val="center"/>
    </w:pPr>
    <w:rPr>
      <w:b/>
    </w:rPr>
  </w:style>
  <w:style w:type="paragraph" w:styleId="BodyText2">
    <w:name w:val="Body Text 2"/>
    <w:basedOn w:val="Normal"/>
    <w:semiHidden/>
    <w:rsid w:val="00BE635C"/>
    <w:rPr>
      <w:i/>
    </w:rPr>
  </w:style>
  <w:style w:type="paragraph" w:styleId="Footer">
    <w:name w:val="footer"/>
    <w:basedOn w:val="Normal"/>
    <w:semiHidden/>
    <w:rsid w:val="00BE635C"/>
    <w:pPr>
      <w:tabs>
        <w:tab w:val="center" w:pos="4320"/>
        <w:tab w:val="right" w:pos="8640"/>
      </w:tabs>
    </w:pPr>
  </w:style>
  <w:style w:type="paragraph" w:styleId="Title">
    <w:name w:val="Title"/>
    <w:basedOn w:val="Normal"/>
    <w:qFormat/>
    <w:rsid w:val="00BE635C"/>
    <w:pPr>
      <w:spacing w:before="480" w:after="360"/>
      <w:outlineLvl w:val="0"/>
    </w:pPr>
    <w:rPr>
      <w:rFonts w:ascii="Arial Black" w:hAnsi="Arial Black"/>
      <w:color w:val="008000"/>
      <w:kern w:val="28"/>
      <w:sz w:val="36"/>
    </w:rPr>
  </w:style>
  <w:style w:type="paragraph" w:customStyle="1" w:styleId="Program">
    <w:name w:val="Program"/>
    <w:basedOn w:val="Title"/>
    <w:rsid w:val="00BE635C"/>
    <w:pPr>
      <w:spacing w:before="0"/>
    </w:pPr>
    <w:rPr>
      <w:rFonts w:ascii="Arial" w:hAnsi="Arial"/>
      <w:i/>
      <w:sz w:val="22"/>
    </w:rPr>
  </w:style>
  <w:style w:type="paragraph" w:customStyle="1" w:styleId="FactSheet">
    <w:name w:val="FactSheet"/>
    <w:basedOn w:val="NormalWeb"/>
    <w:rsid w:val="00BE635C"/>
    <w:pPr>
      <w:spacing w:before="0" w:beforeAutospacing="0" w:after="0" w:afterAutospacing="0"/>
    </w:pPr>
    <w:rPr>
      <w:rFonts w:ascii="AvantGarde" w:hAnsi="AvantGarde"/>
      <w:b/>
      <w:color w:val="FFFFFF"/>
      <w:spacing w:val="20"/>
      <w:position w:val="-6"/>
      <w:sz w:val="36"/>
    </w:rPr>
  </w:style>
  <w:style w:type="paragraph" w:customStyle="1" w:styleId="BodyFactsheet">
    <w:name w:val="Body Factsheet"/>
    <w:basedOn w:val="Normal"/>
    <w:rsid w:val="00BE635C"/>
    <w:pPr>
      <w:spacing w:after="120"/>
    </w:pPr>
    <w:rPr>
      <w:rFonts w:ascii="Arial" w:hAnsi="Arial"/>
      <w:sz w:val="22"/>
    </w:rPr>
  </w:style>
  <w:style w:type="paragraph" w:customStyle="1" w:styleId="Factsubhead">
    <w:name w:val="Factsubhead"/>
    <w:basedOn w:val="Normal"/>
    <w:rsid w:val="00BE635C"/>
    <w:pPr>
      <w:spacing w:before="240"/>
    </w:pPr>
    <w:rPr>
      <w:rFonts w:ascii="Arial Black" w:hAnsi="Arial Black"/>
      <w:color w:val="008000"/>
    </w:rPr>
  </w:style>
  <w:style w:type="paragraph" w:customStyle="1" w:styleId="Bulletfactsheet">
    <w:name w:val="Bullet factsheet"/>
    <w:basedOn w:val="Normal"/>
    <w:rsid w:val="00BE635C"/>
    <w:pPr>
      <w:numPr>
        <w:numId w:val="1"/>
      </w:numPr>
      <w:tabs>
        <w:tab w:val="clear" w:pos="1080"/>
        <w:tab w:val="num" w:pos="720"/>
      </w:tabs>
      <w:spacing w:after="80"/>
      <w:ind w:left="720"/>
    </w:pPr>
    <w:rPr>
      <w:rFonts w:ascii="Arial" w:hAnsi="Arial"/>
      <w:sz w:val="22"/>
    </w:rPr>
  </w:style>
  <w:style w:type="paragraph" w:styleId="NoSpacing">
    <w:name w:val="No Spacing"/>
    <w:uiPriority w:val="1"/>
    <w:qFormat/>
    <w:rsid w:val="00AC37D7"/>
    <w:rPr>
      <w:rFonts w:eastAsia="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quipforequality.org/issues/community-integration/documents-from-efes-class-actions/" TargetMode="Externa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ephen.libowsky@dent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2733</CharactersWithSpaces>
  <SharedDoc>false</SharedDoc>
  <HLinks>
    <vt:vector size="12" baseType="variant">
      <vt:variant>
        <vt:i4>5177462</vt:i4>
      </vt:variant>
      <vt:variant>
        <vt:i4>6</vt:i4>
      </vt:variant>
      <vt:variant>
        <vt:i4>0</vt:i4>
      </vt:variant>
      <vt:variant>
        <vt:i4>5</vt:i4>
      </vt:variant>
      <vt:variant>
        <vt:lpwstr>mailto:barryt@equipforequality.org</vt:lpwstr>
      </vt:variant>
      <vt:variant>
        <vt:lpwstr/>
      </vt:variant>
      <vt:variant>
        <vt:i4>6226004</vt:i4>
      </vt:variant>
      <vt:variant>
        <vt:i4>3</vt:i4>
      </vt:variant>
      <vt:variant>
        <vt:i4>0</vt:i4>
      </vt:variant>
      <vt:variant>
        <vt:i4>5</vt:i4>
      </vt:variant>
      <vt:variant>
        <vt:lpwstr>http://www.equipforequality.org/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Wilhelm &amp; Conlon</dc:creator>
  <cp:lastModifiedBy>BarryT</cp:lastModifiedBy>
  <cp:revision>2</cp:revision>
  <cp:lastPrinted>2014-11-17T15:34:00Z</cp:lastPrinted>
  <dcterms:created xsi:type="dcterms:W3CDTF">2019-10-21T15:50:00Z</dcterms:created>
  <dcterms:modified xsi:type="dcterms:W3CDTF">2019-10-21T15:50:00Z</dcterms:modified>
</cp:coreProperties>
</file>